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ED" w:rsidRDefault="004701ED" w:rsidP="00B3487A">
      <w:pPr>
        <w:autoSpaceDE w:val="0"/>
        <w:autoSpaceDN w:val="0"/>
        <w:adjustRightInd w:val="0"/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-2366645</wp:posOffset>
            </wp:positionV>
            <wp:extent cx="3263776" cy="4616146"/>
            <wp:effectExtent l="0" t="0" r="0" b="0"/>
            <wp:wrapNone/>
            <wp:docPr id="6" name="Picture 6" descr="D:\Johannan tikku\KELIPK\Viestintä\Logot\Logot suomeksi\logot_sy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ohannan tikku\KELIPK\Viestintä\Logot\Logot suomeksi\logot_syk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776" cy="46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338265BF" wp14:editId="2C86103A">
            <wp:simplePos x="0" y="0"/>
            <wp:positionH relativeFrom="column">
              <wp:posOffset>-62865</wp:posOffset>
            </wp:positionH>
            <wp:positionV relativeFrom="paragraph">
              <wp:posOffset>-633095</wp:posOffset>
            </wp:positionV>
            <wp:extent cx="800100" cy="80010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87A">
        <w:t xml:space="preserve">          </w:t>
      </w:r>
    </w:p>
    <w:p w:rsidR="004701ED" w:rsidRDefault="004701ED" w:rsidP="00B3487A">
      <w:pPr>
        <w:autoSpaceDE w:val="0"/>
        <w:autoSpaceDN w:val="0"/>
        <w:adjustRightInd w:val="0"/>
      </w:pPr>
    </w:p>
    <w:p w:rsidR="00B3487A" w:rsidRDefault="00B3487A" w:rsidP="00B3487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t xml:space="preserve">     </w:t>
      </w:r>
      <w:r w:rsidR="00D96A83">
        <w:rPr>
          <w:rFonts w:ascii="Times New Roman" w:hAnsi="Times New Roman"/>
          <w:b/>
          <w:sz w:val="24"/>
        </w:rPr>
        <w:t>Yrityksen hiilijalanjälki ja sen l</w:t>
      </w:r>
      <w:r>
        <w:rPr>
          <w:rFonts w:ascii="Times New Roman" w:hAnsi="Times New Roman"/>
          <w:b/>
          <w:sz w:val="24"/>
        </w:rPr>
        <w:t xml:space="preserve">askeminen </w:t>
      </w:r>
      <w:proofErr w:type="spellStart"/>
      <w:r w:rsidR="00D033AC">
        <w:rPr>
          <w:rFonts w:ascii="Times New Roman" w:hAnsi="Times New Roman"/>
          <w:b/>
          <w:sz w:val="24"/>
        </w:rPr>
        <w:t>Y-HIILARI-laskurilla</w:t>
      </w:r>
      <w:proofErr w:type="spellEnd"/>
    </w:p>
    <w:p w:rsidR="00FA2D7C" w:rsidRDefault="00FA2D7C" w:rsidP="00B3487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4A2408" w:rsidRDefault="004A2408" w:rsidP="00B3487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FA2D7C" w:rsidRPr="00FA2D7C" w:rsidRDefault="00FA2D7C" w:rsidP="00B3487A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</w:rPr>
      </w:pPr>
      <w:proofErr w:type="gramStart"/>
      <w:r w:rsidRPr="00FA2D7C">
        <w:rPr>
          <w:rFonts w:ascii="Times New Roman" w:hAnsi="Times New Roman"/>
          <w:b/>
          <w:color w:val="FF0000"/>
          <w:sz w:val="24"/>
        </w:rPr>
        <w:t>Päivitetty marraskuussa 2019</w:t>
      </w:r>
      <w:r w:rsidR="00C76771">
        <w:rPr>
          <w:rFonts w:ascii="Times New Roman" w:hAnsi="Times New Roman"/>
          <w:b/>
          <w:color w:val="FF0000"/>
          <w:sz w:val="24"/>
        </w:rPr>
        <w:t xml:space="preserve"> </w:t>
      </w:r>
      <w:r w:rsidR="00C76771" w:rsidRPr="00C76771">
        <w:rPr>
          <w:rFonts w:ascii="Times New Roman" w:hAnsi="Times New Roman"/>
          <w:b/>
          <w:color w:val="FF0000"/>
          <w:sz w:val="24"/>
        </w:rPr>
        <w:t>Kestävän liiketoiminnan edistäminen Pohjois-Karjalan kiert</w:t>
      </w:r>
      <w:r w:rsidR="00C76771" w:rsidRPr="00C76771">
        <w:rPr>
          <w:rFonts w:ascii="Times New Roman" w:hAnsi="Times New Roman"/>
          <w:b/>
          <w:color w:val="FF0000"/>
          <w:sz w:val="24"/>
        </w:rPr>
        <w:t>o</w:t>
      </w:r>
      <w:r w:rsidR="00C76771" w:rsidRPr="00C76771">
        <w:rPr>
          <w:rFonts w:ascii="Times New Roman" w:hAnsi="Times New Roman"/>
          <w:b/>
          <w:color w:val="FF0000"/>
          <w:sz w:val="24"/>
        </w:rPr>
        <w:t>biotaloudessa (</w:t>
      </w:r>
      <w:proofErr w:type="spellStart"/>
      <w:r w:rsidR="00C76771" w:rsidRPr="00C76771">
        <w:rPr>
          <w:rFonts w:ascii="Times New Roman" w:hAnsi="Times New Roman"/>
          <w:b/>
          <w:color w:val="FF0000"/>
          <w:sz w:val="24"/>
        </w:rPr>
        <w:t>KELIPK)</w:t>
      </w:r>
      <w:r w:rsidR="00C76771">
        <w:rPr>
          <w:rFonts w:ascii="Times New Roman" w:hAnsi="Times New Roman"/>
          <w:b/>
          <w:color w:val="FF0000"/>
          <w:sz w:val="24"/>
        </w:rPr>
        <w:t>-Hankkeessa</w:t>
      </w:r>
      <w:proofErr w:type="spellEnd"/>
      <w:proofErr w:type="gramEnd"/>
    </w:p>
    <w:p w:rsidR="00D96A83" w:rsidRDefault="00D96A83" w:rsidP="00B3487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4A2408" w:rsidRDefault="004A2408" w:rsidP="00B3487A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FA2D7C" w:rsidRDefault="00D96A83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Anniina Kontiokorpi on diplomityössään ”Energia- ja ilmastotoimenpiteiden käynnistäminen pk-yrityksissä” kehittänyt yksinkertaisen laskurin yritysten hiilijalanjäljen </w:t>
      </w:r>
      <w:r w:rsidR="00FA2D7C" w:rsidRPr="004A2408">
        <w:rPr>
          <w:rFonts w:ascii="Times New Roman" w:hAnsi="Times New Roman"/>
          <w:sz w:val="24"/>
        </w:rPr>
        <w:t>laskentaan</w:t>
      </w:r>
      <w:r w:rsidR="0053334F" w:rsidRPr="004A2408">
        <w:rPr>
          <w:rFonts w:ascii="Times New Roman" w:hAnsi="Times New Roman"/>
          <w:sz w:val="24"/>
        </w:rPr>
        <w:t xml:space="preserve"> [1].</w:t>
      </w:r>
      <w:r w:rsidRPr="00D96A83">
        <w:rPr>
          <w:rFonts w:ascii="Times New Roman" w:hAnsi="Times New Roman"/>
          <w:sz w:val="24"/>
        </w:rPr>
        <w:t xml:space="preserve"> </w:t>
      </w:r>
    </w:p>
    <w:p w:rsidR="00D96A83" w:rsidRDefault="00FA2D7C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Laskuri on päivitetty vuoden 2019 aikana Johanna Niemistön ja Jaakko Karvosen toimesta.</w:t>
      </w:r>
    </w:p>
    <w:p w:rsidR="00D96A83" w:rsidRPr="00D96A83" w:rsidRDefault="00D96A83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D434B" w:rsidRDefault="00B3487A" w:rsidP="008D43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Laskurilla laskettavan yrityksen tai tuotantolaitoksen hiilijalanjäljen rajaus perustuu </w:t>
      </w:r>
      <w:proofErr w:type="spellStart"/>
      <w:r w:rsidRPr="00B3487A">
        <w:rPr>
          <w:rFonts w:ascii="Times New Roman" w:hAnsi="Times New Roman"/>
          <w:sz w:val="24"/>
        </w:rPr>
        <w:t>GHG-protokollan</w:t>
      </w:r>
      <w:proofErr w:type="spellEnd"/>
      <w:r w:rsidRPr="00B3487A">
        <w:rPr>
          <w:rFonts w:ascii="Times New Roman" w:hAnsi="Times New Roman"/>
          <w:sz w:val="24"/>
        </w:rPr>
        <w:t xml:space="preserve"> </w:t>
      </w:r>
      <w:proofErr w:type="spellStart"/>
      <w:r w:rsidRPr="00B3487A">
        <w:rPr>
          <w:rFonts w:ascii="Times New Roman" w:hAnsi="Times New Roman"/>
          <w:sz w:val="24"/>
        </w:rPr>
        <w:t>Corporate</w:t>
      </w:r>
      <w:proofErr w:type="spellEnd"/>
      <w:r w:rsidRPr="00B3487A">
        <w:rPr>
          <w:rFonts w:ascii="Times New Roman" w:hAnsi="Times New Roman"/>
          <w:sz w:val="24"/>
        </w:rPr>
        <w:t xml:space="preserve"> Accounting and Re</w:t>
      </w:r>
      <w:bookmarkStart w:id="0" w:name="_GoBack"/>
      <w:bookmarkEnd w:id="0"/>
      <w:r w:rsidRPr="00B3487A">
        <w:rPr>
          <w:rFonts w:ascii="Times New Roman" w:hAnsi="Times New Roman"/>
          <w:sz w:val="24"/>
        </w:rPr>
        <w:t xml:space="preserve">porting </w:t>
      </w:r>
      <w:proofErr w:type="gramStart"/>
      <w:r w:rsidR="00582019">
        <w:rPr>
          <w:rFonts w:ascii="Times New Roman" w:hAnsi="Times New Roman"/>
          <w:sz w:val="24"/>
        </w:rPr>
        <w:t>–</w:t>
      </w:r>
      <w:r w:rsidR="00231476" w:rsidRPr="00B3487A">
        <w:rPr>
          <w:rFonts w:ascii="Times New Roman" w:hAnsi="Times New Roman"/>
          <w:sz w:val="24"/>
        </w:rPr>
        <w:t>standardiin</w:t>
      </w:r>
      <w:proofErr w:type="gramEnd"/>
      <w:r w:rsidR="00FA2D7C">
        <w:rPr>
          <w:rFonts w:ascii="Times New Roman" w:hAnsi="Times New Roman"/>
          <w:sz w:val="24"/>
        </w:rPr>
        <w:t xml:space="preserve"> </w:t>
      </w:r>
      <w:r w:rsidR="0053334F" w:rsidRPr="004A2408">
        <w:rPr>
          <w:rFonts w:ascii="Times New Roman" w:hAnsi="Times New Roman"/>
          <w:sz w:val="24"/>
        </w:rPr>
        <w:t>[2]</w:t>
      </w:r>
      <w:r w:rsidR="0058201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Siinä huomioidaan standardin mukaiset pakolliset</w:t>
      </w:r>
      <w:r w:rsidR="00B37172">
        <w:rPr>
          <w:rFonts w:ascii="Times New Roman" w:hAnsi="Times New Roman"/>
          <w:sz w:val="24"/>
        </w:rPr>
        <w:t xml:space="preserve"> vaikutusalueet (</w:t>
      </w:r>
      <w:proofErr w:type="spellStart"/>
      <w:r w:rsidR="00B37172">
        <w:rPr>
          <w:rFonts w:ascii="Times New Roman" w:hAnsi="Times New Roman"/>
          <w:sz w:val="24"/>
        </w:rPr>
        <w:t>scope</w:t>
      </w:r>
      <w:proofErr w:type="spellEnd"/>
      <w:r w:rsidR="00B37172">
        <w:rPr>
          <w:rFonts w:ascii="Times New Roman" w:hAnsi="Times New Roman"/>
          <w:sz w:val="24"/>
        </w:rPr>
        <w:t>) 1 ja 2, ja vaikutusalue 3 on raportoinnin osalta vapaae</w:t>
      </w:r>
      <w:r w:rsidR="00B37172">
        <w:rPr>
          <w:rFonts w:ascii="Times New Roman" w:hAnsi="Times New Roman"/>
          <w:sz w:val="24"/>
        </w:rPr>
        <w:t>h</w:t>
      </w:r>
      <w:r w:rsidR="00B37172">
        <w:rPr>
          <w:rFonts w:ascii="Times New Roman" w:hAnsi="Times New Roman"/>
          <w:sz w:val="24"/>
        </w:rPr>
        <w:t>toinen osa.</w:t>
      </w:r>
    </w:p>
    <w:p w:rsidR="008D434B" w:rsidRDefault="008D434B" w:rsidP="008D43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7172" w:rsidRDefault="00B3717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7172" w:rsidRDefault="00B3717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487A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Vaikutusalueeseen 1 kuuluvat suorat päästöt polttoaineiden kulutuksesta lämmöntuotantoon. Sta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dardin mukaan vaikutusalueeseen 1 kuuluisi</w:t>
      </w:r>
      <w:r w:rsidR="00582019">
        <w:rPr>
          <w:rFonts w:ascii="Times New Roman" w:hAnsi="Times New Roman"/>
          <w:sz w:val="24"/>
        </w:rPr>
        <w:t>vat</w:t>
      </w:r>
      <w:r>
        <w:rPr>
          <w:rFonts w:ascii="Times New Roman" w:hAnsi="Times New Roman"/>
          <w:sz w:val="24"/>
        </w:rPr>
        <w:t xml:space="preserve"> myös päästöt yrityksen omistamista kulkuneuvoista, mutta </w:t>
      </w:r>
      <w:r w:rsidR="00582019">
        <w:rPr>
          <w:rFonts w:ascii="Times New Roman" w:hAnsi="Times New Roman"/>
          <w:sz w:val="24"/>
        </w:rPr>
        <w:t>niitä</w:t>
      </w:r>
      <w:r>
        <w:rPr>
          <w:rFonts w:ascii="Times New Roman" w:hAnsi="Times New Roman"/>
          <w:sz w:val="24"/>
        </w:rPr>
        <w:t xml:space="preserve"> ei ole huomioitu laskurissa, koska laskurin toiminta haluttiin pitää yksinkertaisena. M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käli yritys omistaa kulkuneuvoja, voidaan niiden aiheuttamat päästöt laskea mukaan</w:t>
      </w:r>
      <w:r w:rsidR="00231476">
        <w:rPr>
          <w:rFonts w:ascii="Times New Roman" w:hAnsi="Times New Roman"/>
          <w:sz w:val="24"/>
        </w:rPr>
        <w:t xml:space="preserve"> </w:t>
      </w:r>
      <w:r w:rsidR="00B37172">
        <w:rPr>
          <w:rFonts w:ascii="Times New Roman" w:hAnsi="Times New Roman"/>
          <w:sz w:val="24"/>
        </w:rPr>
        <w:t>vaikutusalue</w:t>
      </w:r>
      <w:r w:rsidR="00231476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hiilijalanjälkeen</w:t>
      </w:r>
      <w:r w:rsidR="00231476">
        <w:rPr>
          <w:rFonts w:ascii="Times New Roman" w:hAnsi="Times New Roman"/>
          <w:sz w:val="24"/>
        </w:rPr>
        <w:t xml:space="preserve"> käyttäjän toimesta manuaalisesti</w:t>
      </w:r>
      <w:r>
        <w:rPr>
          <w:rFonts w:ascii="Times New Roman" w:hAnsi="Times New Roman"/>
          <w:sz w:val="24"/>
        </w:rPr>
        <w:t xml:space="preserve">. </w:t>
      </w:r>
      <w:r w:rsidR="00231476">
        <w:rPr>
          <w:rFonts w:ascii="Times New Roman" w:hAnsi="Times New Roman"/>
          <w:sz w:val="24"/>
        </w:rPr>
        <w:t xml:space="preserve">Muussa tapauksessa </w:t>
      </w:r>
      <w:r>
        <w:rPr>
          <w:rFonts w:ascii="Times New Roman" w:hAnsi="Times New Roman"/>
          <w:sz w:val="24"/>
        </w:rPr>
        <w:t>ne huomioidaan laskurissa vaikutusaluee</w:t>
      </w:r>
      <w:r w:rsidR="00231476">
        <w:rPr>
          <w:rFonts w:ascii="Times New Roman" w:hAnsi="Times New Roman"/>
          <w:sz w:val="24"/>
        </w:rPr>
        <w:t>seen 3.</w:t>
      </w:r>
    </w:p>
    <w:p w:rsidR="00231476" w:rsidRDefault="00231476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31476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Vaikutusalueeseen 2 kuuluvat päästöt sähköntuotannosta. </w:t>
      </w:r>
      <w:r w:rsidR="00231476">
        <w:rPr>
          <w:rFonts w:ascii="Times New Roman" w:hAnsi="Times New Roman"/>
          <w:sz w:val="24"/>
        </w:rPr>
        <w:t>Laskurissa on mahdollisuus valita yleis-, ydin-, tuuli-, vesi- ja aurinkosähkön väliltä. Laskurissa käytettävät arvot perustuvat elinkaarinäk</w:t>
      </w:r>
      <w:r w:rsidR="00231476">
        <w:rPr>
          <w:rFonts w:ascii="Times New Roman" w:hAnsi="Times New Roman"/>
          <w:sz w:val="24"/>
        </w:rPr>
        <w:t>ö</w:t>
      </w:r>
      <w:r w:rsidR="00231476">
        <w:rPr>
          <w:rFonts w:ascii="Times New Roman" w:hAnsi="Times New Roman"/>
          <w:sz w:val="24"/>
        </w:rPr>
        <w:t>kulmaan, eli mikään tuotantomuoto ei ole täysin päästötöntä. Yleissähkö</w:t>
      </w:r>
      <w:r w:rsidR="0053334F">
        <w:rPr>
          <w:rFonts w:ascii="Times New Roman" w:hAnsi="Times New Roman"/>
          <w:sz w:val="24"/>
        </w:rPr>
        <w:t xml:space="preserve"> perustuu </w:t>
      </w:r>
      <w:proofErr w:type="spellStart"/>
      <w:r w:rsidR="0053334F">
        <w:rPr>
          <w:rFonts w:ascii="Times New Roman" w:hAnsi="Times New Roman"/>
          <w:sz w:val="24"/>
        </w:rPr>
        <w:t>SYKEn</w:t>
      </w:r>
      <w:proofErr w:type="spellEnd"/>
      <w:r w:rsidR="0053334F">
        <w:rPr>
          <w:rFonts w:ascii="Times New Roman" w:hAnsi="Times New Roman"/>
          <w:sz w:val="24"/>
        </w:rPr>
        <w:t xml:space="preserve"> lask</w:t>
      </w:r>
      <w:r w:rsidR="0053334F">
        <w:rPr>
          <w:rFonts w:ascii="Times New Roman" w:hAnsi="Times New Roman"/>
          <w:sz w:val="24"/>
        </w:rPr>
        <w:t>e</w:t>
      </w:r>
      <w:r w:rsidR="0053334F">
        <w:rPr>
          <w:rFonts w:ascii="Times New Roman" w:hAnsi="Times New Roman"/>
          <w:sz w:val="24"/>
        </w:rPr>
        <w:t>m</w:t>
      </w:r>
      <w:r w:rsidR="00582019">
        <w:rPr>
          <w:rFonts w:ascii="Times New Roman" w:hAnsi="Times New Roman"/>
          <w:sz w:val="24"/>
        </w:rPr>
        <w:t>aa</w:t>
      </w:r>
      <w:r w:rsidR="0053334F">
        <w:rPr>
          <w:rFonts w:ascii="Times New Roman" w:hAnsi="Times New Roman"/>
          <w:sz w:val="24"/>
        </w:rPr>
        <w:t xml:space="preserve">n vuosien </w:t>
      </w:r>
      <w:proofErr w:type="gramStart"/>
      <w:r w:rsidR="0053334F">
        <w:rPr>
          <w:rFonts w:ascii="Times New Roman" w:hAnsi="Times New Roman"/>
          <w:sz w:val="24"/>
        </w:rPr>
        <w:t>2013-2015</w:t>
      </w:r>
      <w:proofErr w:type="gramEnd"/>
      <w:r w:rsidR="0053334F">
        <w:rPr>
          <w:rFonts w:ascii="Times New Roman" w:hAnsi="Times New Roman"/>
          <w:sz w:val="24"/>
        </w:rPr>
        <w:t xml:space="preserve"> keskiarvoon [3], joka</w:t>
      </w:r>
      <w:r w:rsidR="00231476">
        <w:rPr>
          <w:rFonts w:ascii="Times New Roman" w:hAnsi="Times New Roman"/>
          <w:sz w:val="24"/>
        </w:rPr>
        <w:t xml:space="preserve"> sisältää myös tuontisäh</w:t>
      </w:r>
      <w:r w:rsidR="00FE4D41">
        <w:rPr>
          <w:rFonts w:ascii="Times New Roman" w:hAnsi="Times New Roman"/>
          <w:sz w:val="24"/>
        </w:rPr>
        <w:t>kön.</w:t>
      </w:r>
      <w:r w:rsidR="00B37172">
        <w:rPr>
          <w:rFonts w:ascii="Times New Roman" w:hAnsi="Times New Roman"/>
          <w:sz w:val="24"/>
        </w:rPr>
        <w:t xml:space="preserve"> Muut ovat </w:t>
      </w:r>
      <w:proofErr w:type="spellStart"/>
      <w:r w:rsidR="00B37172">
        <w:rPr>
          <w:rFonts w:ascii="Times New Roman" w:hAnsi="Times New Roman"/>
          <w:sz w:val="24"/>
        </w:rPr>
        <w:t>IPCC:n</w:t>
      </w:r>
      <w:proofErr w:type="spellEnd"/>
      <w:r w:rsidR="00B37172">
        <w:rPr>
          <w:rFonts w:ascii="Times New Roman" w:hAnsi="Times New Roman"/>
          <w:sz w:val="24"/>
        </w:rPr>
        <w:t xml:space="preserve"> ju</w:t>
      </w:r>
      <w:r w:rsidR="00B37172">
        <w:rPr>
          <w:rFonts w:ascii="Times New Roman" w:hAnsi="Times New Roman"/>
          <w:sz w:val="24"/>
        </w:rPr>
        <w:t>l</w:t>
      </w:r>
      <w:r w:rsidR="00B37172">
        <w:rPr>
          <w:rFonts w:ascii="Times New Roman" w:hAnsi="Times New Roman"/>
          <w:sz w:val="24"/>
        </w:rPr>
        <w:t>kaisusta saatavia lukuja [4]</w:t>
      </w:r>
      <w:r w:rsidR="00582019">
        <w:rPr>
          <w:rFonts w:ascii="Times New Roman" w:hAnsi="Times New Roman"/>
          <w:sz w:val="24"/>
        </w:rPr>
        <w:t>.</w:t>
      </w:r>
    </w:p>
    <w:p w:rsidR="00FE4D41" w:rsidRDefault="00FE4D41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7172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Standardin mukaan vaikutusalue 3 on vapaaehtoinen rajaus yrityksen hiilijalanjäljen osalta. Lask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rissa huomioidaan vaikutusalueesta 3 jätehuolto (</w:t>
      </w:r>
      <w:r w:rsidR="00231476">
        <w:rPr>
          <w:rFonts w:ascii="Times New Roman" w:hAnsi="Times New Roman"/>
          <w:sz w:val="24"/>
        </w:rPr>
        <w:t>kierrätys tai poltto</w:t>
      </w:r>
      <w:r>
        <w:rPr>
          <w:rFonts w:ascii="Times New Roman" w:hAnsi="Times New Roman"/>
          <w:sz w:val="24"/>
        </w:rPr>
        <w:t>), kuljetukset ja liikematkust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minen</w:t>
      </w:r>
      <w:r w:rsidR="00B37172">
        <w:rPr>
          <w:rFonts w:ascii="Times New Roman" w:hAnsi="Times New Roman"/>
          <w:sz w:val="24"/>
        </w:rPr>
        <w:t xml:space="preserve"> sekä kuljetuksissa kulutettujen polttoaineiden valmistamisesta aiheutuvat päästöt</w:t>
      </w:r>
      <w:r>
        <w:rPr>
          <w:rFonts w:ascii="Times New Roman" w:hAnsi="Times New Roman"/>
          <w:sz w:val="24"/>
        </w:rPr>
        <w:t xml:space="preserve">. </w:t>
      </w:r>
    </w:p>
    <w:p w:rsidR="00B37172" w:rsidRDefault="00B3717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487A" w:rsidRPr="00B3487A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Valitun rajauksen avulla voidaan esittää</w:t>
      </w:r>
      <w:r w:rsidR="00B37172">
        <w:rPr>
          <w:rFonts w:ascii="Times New Roman" w:hAnsi="Times New Roman"/>
          <w:sz w:val="24"/>
        </w:rPr>
        <w:t xml:space="preserve"> yrityksen suora ja/tai epäsuora</w:t>
      </w:r>
      <w:r>
        <w:rPr>
          <w:rFonts w:ascii="Times New Roman" w:hAnsi="Times New Roman"/>
          <w:sz w:val="24"/>
        </w:rPr>
        <w:t xml:space="preserve"> hiilijalanjälki</w:t>
      </w:r>
      <w:r w:rsidR="00B37172">
        <w:rPr>
          <w:rFonts w:ascii="Times New Roman" w:hAnsi="Times New Roman"/>
          <w:sz w:val="24"/>
        </w:rPr>
        <w:t>, ja löytää niitä osa-alueita, joihin yritys voi vaikuttaa suoraan itse</w:t>
      </w:r>
      <w:r w:rsidR="00582019">
        <w:rPr>
          <w:rFonts w:ascii="Times New Roman" w:hAnsi="Times New Roman"/>
          <w:sz w:val="24"/>
        </w:rPr>
        <w:t>. Lisäksi voidaan löytää ne osa-alueet, joiden</w:t>
      </w:r>
      <w:r w:rsidR="00B37172">
        <w:rPr>
          <w:rFonts w:ascii="Times New Roman" w:hAnsi="Times New Roman"/>
          <w:sz w:val="24"/>
        </w:rPr>
        <w:t xml:space="preserve"> </w:t>
      </w:r>
      <w:r w:rsidR="00582019">
        <w:rPr>
          <w:rFonts w:ascii="Times New Roman" w:hAnsi="Times New Roman"/>
          <w:sz w:val="24"/>
        </w:rPr>
        <w:t>i</w:t>
      </w:r>
      <w:r w:rsidR="00582019">
        <w:rPr>
          <w:rFonts w:ascii="Times New Roman" w:hAnsi="Times New Roman"/>
          <w:sz w:val="24"/>
        </w:rPr>
        <w:t>l</w:t>
      </w:r>
      <w:r w:rsidR="00582019">
        <w:rPr>
          <w:rFonts w:ascii="Times New Roman" w:hAnsi="Times New Roman"/>
          <w:sz w:val="24"/>
        </w:rPr>
        <w:t>masto</w:t>
      </w:r>
      <w:r w:rsidR="00B37172">
        <w:rPr>
          <w:rFonts w:ascii="Times New Roman" w:hAnsi="Times New Roman"/>
          <w:sz w:val="24"/>
        </w:rPr>
        <w:t>vaikutusten vähentäminen vaatii alihankintaketjuihin vaikuttamista.</w:t>
      </w:r>
    </w:p>
    <w:p w:rsidR="008D434B" w:rsidRDefault="008D434B" w:rsidP="008D43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D434B" w:rsidRDefault="008D434B" w:rsidP="008D43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Lask</w:t>
      </w:r>
      <w:r>
        <w:rPr>
          <w:rFonts w:ascii="Times New Roman" w:hAnsi="Times New Roman"/>
          <w:sz w:val="24"/>
        </w:rPr>
        <w:t>uria</w:t>
      </w:r>
      <w:r>
        <w:rPr>
          <w:rFonts w:ascii="Times New Roman" w:hAnsi="Times New Roman"/>
          <w:sz w:val="24"/>
        </w:rPr>
        <w:t xml:space="preserve"> varten tulee siis kerätä yrityksen/tuotantolaitoksen vuositasoiset tiedot sähkönkulutukse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ta, lämpöenergiantarpeesta (polttoainekohtaisesti),</w:t>
      </w:r>
      <w:r>
        <w:rPr>
          <w:rFonts w:ascii="Times New Roman" w:hAnsi="Times New Roman"/>
          <w:sz w:val="24"/>
        </w:rPr>
        <w:t xml:space="preserve"> ja vapaaehtoisiksi </w:t>
      </w:r>
      <w:r w:rsidR="00050DAD">
        <w:rPr>
          <w:rFonts w:ascii="Times New Roman" w:hAnsi="Times New Roman"/>
          <w:sz w:val="24"/>
        </w:rPr>
        <w:t>osa-alueiksi jäävät</w:t>
      </w:r>
      <w:r>
        <w:rPr>
          <w:rFonts w:ascii="Times New Roman" w:hAnsi="Times New Roman"/>
          <w:sz w:val="24"/>
        </w:rPr>
        <w:t xml:space="preserve"> liikematkat eri ku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kuvälineillä ja hotelliyöpymisten määrä, rahtimäärät ja </w:t>
      </w:r>
      <w:r w:rsidR="00050DA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matkat (tai polttoaineenkulutukset) sekä jätemäärät ja käsittelytavat sekä ku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jetusmatkat ja tyhjennyskerrat. </w:t>
      </w:r>
    </w:p>
    <w:p w:rsidR="00B3487A" w:rsidRPr="00B3487A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70E45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Laskurista haluttiin niin yksinkertainen, että yritykset voivat hyödyntää sitä ilman ulkopuolista apua. Laskuri toimii Excel-taulukkolaskentaohjelmassa ja siinä on </w:t>
      </w:r>
      <w:r w:rsidR="00170E45">
        <w:rPr>
          <w:rFonts w:ascii="Times New Roman" w:hAnsi="Times New Roman"/>
          <w:sz w:val="24"/>
        </w:rPr>
        <w:t>seuraavat</w:t>
      </w:r>
      <w:r>
        <w:rPr>
          <w:rFonts w:ascii="Times New Roman" w:hAnsi="Times New Roman"/>
          <w:sz w:val="24"/>
        </w:rPr>
        <w:t xml:space="preserve"> välilehdet</w:t>
      </w:r>
      <w:r w:rsidR="00050DA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170E45" w:rsidRDefault="00170E45" w:rsidP="00170E4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Ohje</w:t>
      </w:r>
      <w:r w:rsidR="00561D0B">
        <w:rPr>
          <w:rFonts w:ascii="Times New Roman" w:hAnsi="Times New Roman"/>
          <w:sz w:val="24"/>
        </w:rPr>
        <w:t>,</w:t>
      </w:r>
    </w:p>
    <w:p w:rsidR="00170E45" w:rsidRDefault="00170E45" w:rsidP="00170E4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Hiilijalanjälki (joka summaa jäljemmät välilehdet)</w:t>
      </w:r>
      <w:r w:rsidR="00561D0B">
        <w:rPr>
          <w:rFonts w:ascii="Times New Roman" w:hAnsi="Times New Roman"/>
          <w:sz w:val="24"/>
        </w:rPr>
        <w:t>,</w:t>
      </w:r>
    </w:p>
    <w:p w:rsidR="00170E45" w:rsidRDefault="00170E45" w:rsidP="009F648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</w:t>
      </w:r>
      <w:r w:rsidR="00B3487A" w:rsidRPr="00170E45">
        <w:rPr>
          <w:rFonts w:ascii="Times New Roman" w:hAnsi="Times New Roman"/>
          <w:sz w:val="24"/>
        </w:rPr>
        <w:t>ähkönkulutu</w:t>
      </w:r>
      <w:r>
        <w:rPr>
          <w:rFonts w:ascii="Times New Roman" w:hAnsi="Times New Roman"/>
          <w:sz w:val="24"/>
        </w:rPr>
        <w:t>s</w:t>
      </w:r>
      <w:r w:rsidR="00561D0B">
        <w:rPr>
          <w:rFonts w:ascii="Times New Roman" w:hAnsi="Times New Roman"/>
          <w:sz w:val="24"/>
        </w:rPr>
        <w:t>,</w:t>
      </w:r>
    </w:p>
    <w:p w:rsidR="00170E45" w:rsidRDefault="00170E45" w:rsidP="009F648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Lämpöenergiankulutus</w:t>
      </w:r>
      <w:r w:rsidR="00561D0B">
        <w:rPr>
          <w:rFonts w:ascii="Times New Roman" w:hAnsi="Times New Roman"/>
          <w:sz w:val="24"/>
        </w:rPr>
        <w:t>,</w:t>
      </w:r>
    </w:p>
    <w:p w:rsidR="00170E45" w:rsidRDefault="00170E45" w:rsidP="009F648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70E45">
        <w:rPr>
          <w:rFonts w:ascii="Times New Roman" w:hAnsi="Times New Roman"/>
          <w:sz w:val="24"/>
        </w:rPr>
        <w:t>Kuljetukset</w:t>
      </w:r>
      <w:r w:rsidR="00561D0B">
        <w:rPr>
          <w:rFonts w:ascii="Times New Roman" w:hAnsi="Times New Roman"/>
          <w:sz w:val="24"/>
        </w:rPr>
        <w:t>,</w:t>
      </w:r>
      <w:r w:rsidRPr="00170E45">
        <w:rPr>
          <w:rFonts w:ascii="Times New Roman" w:hAnsi="Times New Roman"/>
          <w:sz w:val="24"/>
        </w:rPr>
        <w:t xml:space="preserve"> </w:t>
      </w:r>
    </w:p>
    <w:p w:rsidR="00170E45" w:rsidRPr="00170E45" w:rsidRDefault="00170E45" w:rsidP="009F648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70E45">
        <w:rPr>
          <w:rFonts w:ascii="Times New Roman" w:hAnsi="Times New Roman"/>
          <w:sz w:val="24"/>
        </w:rPr>
        <w:t>Jätehuolto</w:t>
      </w:r>
      <w:r w:rsidR="00561D0B">
        <w:rPr>
          <w:rFonts w:ascii="Times New Roman" w:hAnsi="Times New Roman"/>
          <w:sz w:val="24"/>
        </w:rPr>
        <w:t>,</w:t>
      </w:r>
    </w:p>
    <w:p w:rsidR="00170E45" w:rsidRDefault="00170E45" w:rsidP="009F648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Liikematkustaminen, ja</w:t>
      </w:r>
    </w:p>
    <w:p w:rsidR="00170E45" w:rsidRDefault="00170E45" w:rsidP="009F648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Päästökertoimet</w:t>
      </w:r>
      <w:r w:rsidR="00561D0B">
        <w:rPr>
          <w:rFonts w:ascii="Times New Roman" w:hAnsi="Times New Roman"/>
          <w:sz w:val="24"/>
        </w:rPr>
        <w:t>.</w:t>
      </w:r>
    </w:p>
    <w:p w:rsidR="00B00424" w:rsidRDefault="00B00424" w:rsidP="0017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0DAD" w:rsidRDefault="00050DAD" w:rsidP="0017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70E45" w:rsidRDefault="00170E45" w:rsidP="00170E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Tavarankuljetuksia</w:t>
      </w:r>
      <w:r w:rsidR="00236AEE">
        <w:rPr>
          <w:rFonts w:ascii="Times New Roman" w:hAnsi="Times New Roman"/>
          <w:sz w:val="24"/>
        </w:rPr>
        <w:t xml:space="preserve"> voi laskea pakettiautolle (</w:t>
      </w:r>
      <w:proofErr w:type="spellStart"/>
      <w:r w:rsidR="00236AEE">
        <w:rPr>
          <w:rFonts w:ascii="Times New Roman" w:hAnsi="Times New Roman"/>
          <w:sz w:val="24"/>
        </w:rPr>
        <w:t>kokonaismassa/max</w:t>
      </w:r>
      <w:proofErr w:type="spellEnd"/>
      <w:r w:rsidR="00236AEE">
        <w:rPr>
          <w:rFonts w:ascii="Times New Roman" w:hAnsi="Times New Roman"/>
          <w:sz w:val="24"/>
        </w:rPr>
        <w:t xml:space="preserve"> rahti na/1,2 t) jakelukuorma-autoille (6 t/ 3.5 t ja 15 t/ 9 t), puoliperävaunuyhdistelmille (40 t/ 25 t) ja täysperävaunullisille y</w:t>
      </w:r>
      <w:r w:rsidR="00236AEE">
        <w:rPr>
          <w:rFonts w:ascii="Times New Roman" w:hAnsi="Times New Roman"/>
          <w:sz w:val="24"/>
        </w:rPr>
        <w:t>h</w:t>
      </w:r>
      <w:r w:rsidR="00236AEE">
        <w:rPr>
          <w:rFonts w:ascii="Times New Roman" w:hAnsi="Times New Roman"/>
          <w:sz w:val="24"/>
        </w:rPr>
        <w:t xml:space="preserve">distelmille (60 t/ 40 t ja 76 t/ 51 t). Lisäksi </w:t>
      </w:r>
      <w:r w:rsidR="00582019">
        <w:rPr>
          <w:rFonts w:ascii="Times New Roman" w:hAnsi="Times New Roman"/>
          <w:sz w:val="24"/>
        </w:rPr>
        <w:t xml:space="preserve">on mahdollista laskea </w:t>
      </w:r>
      <w:r w:rsidR="00236AEE">
        <w:rPr>
          <w:rFonts w:ascii="Times New Roman" w:hAnsi="Times New Roman"/>
          <w:sz w:val="24"/>
        </w:rPr>
        <w:t>laivarahti 1000 ja 2000 TEU alu</w:t>
      </w:r>
      <w:r w:rsidR="00236AEE">
        <w:rPr>
          <w:rFonts w:ascii="Times New Roman" w:hAnsi="Times New Roman"/>
          <w:sz w:val="24"/>
        </w:rPr>
        <w:t>k</w:t>
      </w:r>
      <w:r w:rsidR="00236AEE">
        <w:rPr>
          <w:rFonts w:ascii="Times New Roman" w:hAnsi="Times New Roman"/>
          <w:sz w:val="24"/>
        </w:rPr>
        <w:t>sill</w:t>
      </w:r>
      <w:r w:rsidR="004A2408">
        <w:rPr>
          <w:rFonts w:ascii="Times New Roman" w:hAnsi="Times New Roman"/>
          <w:sz w:val="24"/>
        </w:rPr>
        <w:t>a, junakuljetukset dieselillä ja sähköllä toimivi</w:t>
      </w:r>
      <w:r w:rsidR="00582019">
        <w:rPr>
          <w:rFonts w:ascii="Times New Roman" w:hAnsi="Times New Roman"/>
          <w:sz w:val="24"/>
        </w:rPr>
        <w:t>lla</w:t>
      </w:r>
      <w:r w:rsidR="004A2408">
        <w:rPr>
          <w:rFonts w:ascii="Times New Roman" w:hAnsi="Times New Roman"/>
          <w:sz w:val="24"/>
        </w:rPr>
        <w:t xml:space="preserve"> tavarajunilla</w:t>
      </w:r>
      <w:r w:rsidR="00236AEE">
        <w:rPr>
          <w:rFonts w:ascii="Times New Roman" w:hAnsi="Times New Roman"/>
          <w:sz w:val="24"/>
        </w:rPr>
        <w:t xml:space="preserve"> ja lentorahdit</w:t>
      </w:r>
      <w:r w:rsidR="004A2408">
        <w:rPr>
          <w:rFonts w:ascii="Times New Roman" w:hAnsi="Times New Roman"/>
          <w:sz w:val="24"/>
        </w:rPr>
        <w:t xml:space="preserve"> eri etäisyyksille</w:t>
      </w:r>
      <w:r w:rsidR="00236AEE">
        <w:rPr>
          <w:rFonts w:ascii="Times New Roman" w:hAnsi="Times New Roman"/>
          <w:sz w:val="24"/>
        </w:rPr>
        <w:t>. Päästöjä</w:t>
      </w:r>
      <w:r>
        <w:rPr>
          <w:rFonts w:ascii="Times New Roman" w:hAnsi="Times New Roman"/>
          <w:sz w:val="24"/>
        </w:rPr>
        <w:t xml:space="preserve"> laskettaessa käytetään pääasiassa rahdin</w:t>
      </w:r>
      <w:r w:rsidRPr="00941AF8">
        <w:rPr>
          <w:rFonts w:ascii="Times New Roman" w:hAnsi="Times New Roman"/>
          <w:sz w:val="24"/>
        </w:rPr>
        <w:t xml:space="preserve"> paino</w:t>
      </w:r>
      <w:r>
        <w:rPr>
          <w:rFonts w:ascii="Times New Roman" w:hAnsi="Times New Roman"/>
          <w:sz w:val="24"/>
        </w:rPr>
        <w:t>a</w:t>
      </w:r>
      <w:r w:rsidRPr="00941A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ja </w:t>
      </w:r>
      <w:r w:rsidRPr="00941AF8">
        <w:rPr>
          <w:rFonts w:ascii="Times New Roman" w:hAnsi="Times New Roman"/>
          <w:sz w:val="24"/>
        </w:rPr>
        <w:t>kuljetu</w:t>
      </w:r>
      <w:r>
        <w:rPr>
          <w:rFonts w:ascii="Times New Roman" w:hAnsi="Times New Roman"/>
          <w:sz w:val="24"/>
        </w:rPr>
        <w:t xml:space="preserve">smatkaa (tonnit * km </w:t>
      </w:r>
      <w:r w:rsidRPr="00941AF8">
        <w:rPr>
          <w:rFonts w:ascii="Times New Roman" w:hAnsi="Times New Roman"/>
          <w:sz w:val="24"/>
        </w:rPr>
        <w:t>= kuljetu</w:t>
      </w:r>
      <w:r w:rsidRPr="00941AF8">
        <w:rPr>
          <w:rFonts w:ascii="Times New Roman" w:hAnsi="Times New Roman"/>
          <w:sz w:val="24"/>
        </w:rPr>
        <w:t>k</w:t>
      </w:r>
      <w:r w:rsidRPr="00941AF8">
        <w:rPr>
          <w:rFonts w:ascii="Times New Roman" w:hAnsi="Times New Roman"/>
          <w:sz w:val="24"/>
        </w:rPr>
        <w:t>sen t</w:t>
      </w:r>
      <w:r>
        <w:rPr>
          <w:rFonts w:ascii="Times New Roman" w:hAnsi="Times New Roman"/>
          <w:sz w:val="24"/>
        </w:rPr>
        <w:t>onnikilometrit), mutta maantiekuljetusten osalta on kuitenkin mahdollistettu myös suoraan polttoaineen (diesel) ku</w:t>
      </w:r>
      <w:r w:rsidR="00236AEE">
        <w:rPr>
          <w:rFonts w:ascii="Times New Roman" w:hAnsi="Times New Roman"/>
          <w:sz w:val="24"/>
        </w:rPr>
        <w:t>lutusperusteinen laskentatapa</w:t>
      </w:r>
      <w:r>
        <w:rPr>
          <w:rFonts w:ascii="Times New Roman" w:hAnsi="Times New Roman"/>
          <w:sz w:val="24"/>
        </w:rPr>
        <w:t xml:space="preserve">. Tämä on usein helppo tapa yrityksille, joilla on omaa kuljetuskalustoa. </w:t>
      </w:r>
      <w:r w:rsidR="00050DAD">
        <w:rPr>
          <w:rFonts w:ascii="Times New Roman" w:hAnsi="Times New Roman"/>
          <w:sz w:val="24"/>
        </w:rPr>
        <w:t>Maantierahtikuljetusten osalta tonnikilometrejä käytettäessä</w:t>
      </w:r>
      <w:r>
        <w:rPr>
          <w:rFonts w:ascii="Times New Roman" w:hAnsi="Times New Roman"/>
          <w:sz w:val="24"/>
        </w:rPr>
        <w:t xml:space="preserve"> laskuri to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mii dynaamisesti siltä osin, että rahdin massa lisää polttoaineen kulu</w:t>
      </w:r>
      <w:r w:rsidR="0015496C">
        <w:rPr>
          <w:rFonts w:ascii="Times New Roman" w:hAnsi="Times New Roman"/>
          <w:sz w:val="24"/>
        </w:rPr>
        <w:t>tusta ajoneuvokilometriä ko</w:t>
      </w:r>
      <w:r w:rsidR="0015496C">
        <w:rPr>
          <w:rFonts w:ascii="Times New Roman" w:hAnsi="Times New Roman"/>
          <w:sz w:val="24"/>
        </w:rPr>
        <w:t>h</w:t>
      </w:r>
      <w:r w:rsidR="0015496C">
        <w:rPr>
          <w:rFonts w:ascii="Times New Roman" w:hAnsi="Times New Roman"/>
          <w:sz w:val="24"/>
        </w:rPr>
        <w:t>den</w:t>
      </w:r>
      <w:r w:rsidR="00236AEE">
        <w:rPr>
          <w:rFonts w:ascii="Times New Roman" w:hAnsi="Times New Roman"/>
          <w:sz w:val="24"/>
        </w:rPr>
        <w:t xml:space="preserve"> (lähde 6, tyhjän ja täyden erotuksen</w:t>
      </w:r>
      <w:r w:rsidR="00050DAD">
        <w:rPr>
          <w:rFonts w:ascii="Times New Roman" w:hAnsi="Times New Roman"/>
          <w:sz w:val="24"/>
        </w:rPr>
        <w:t xml:space="preserve"> kautta</w:t>
      </w:r>
      <w:r w:rsidR="00236AEE">
        <w:rPr>
          <w:rFonts w:ascii="Times New Roman" w:hAnsi="Times New Roman"/>
          <w:sz w:val="24"/>
        </w:rPr>
        <w:t xml:space="preserve"> lineaarisella mallilla </w:t>
      </w:r>
      <w:r w:rsidR="00050DAD">
        <w:rPr>
          <w:rFonts w:ascii="Times New Roman" w:hAnsi="Times New Roman"/>
          <w:sz w:val="24"/>
        </w:rPr>
        <w:t>laskettu</w:t>
      </w:r>
      <w:r w:rsidR="00236AEE">
        <w:rPr>
          <w:rFonts w:ascii="Times New Roman" w:hAnsi="Times New Roman"/>
          <w:sz w:val="24"/>
        </w:rPr>
        <w:t>)</w:t>
      </w:r>
      <w:r w:rsidR="0015496C">
        <w:rPr>
          <w:rFonts w:ascii="Times New Roman" w:hAnsi="Times New Roman"/>
          <w:sz w:val="24"/>
        </w:rPr>
        <w:t>. Lentoliikenteen pää</w:t>
      </w:r>
      <w:r w:rsidR="0015496C">
        <w:rPr>
          <w:rFonts w:ascii="Times New Roman" w:hAnsi="Times New Roman"/>
          <w:sz w:val="24"/>
        </w:rPr>
        <w:t>s</w:t>
      </w:r>
      <w:r w:rsidR="0015496C">
        <w:rPr>
          <w:rFonts w:ascii="Times New Roman" w:hAnsi="Times New Roman"/>
          <w:sz w:val="24"/>
        </w:rPr>
        <w:t>töjen osalta on käytetty Finnairin päästölaskuria [5]</w:t>
      </w:r>
      <w:r w:rsidR="00050DAD">
        <w:rPr>
          <w:rFonts w:ascii="Times New Roman" w:hAnsi="Times New Roman"/>
          <w:sz w:val="24"/>
        </w:rPr>
        <w:t>, ja muiden kuljetusmuotojen päästöt on laskettu</w:t>
      </w:r>
      <w:r w:rsidR="0015496C">
        <w:rPr>
          <w:rFonts w:ascii="Times New Roman" w:hAnsi="Times New Roman"/>
          <w:sz w:val="24"/>
        </w:rPr>
        <w:t xml:space="preserve"> VTT:n </w:t>
      </w:r>
      <w:proofErr w:type="spellStart"/>
      <w:r w:rsidR="0015496C">
        <w:rPr>
          <w:rFonts w:ascii="Times New Roman" w:hAnsi="Times New Roman"/>
          <w:sz w:val="24"/>
        </w:rPr>
        <w:t>LIPASTO-tietokannan</w:t>
      </w:r>
      <w:proofErr w:type="spellEnd"/>
      <w:r w:rsidR="0015496C">
        <w:rPr>
          <w:rFonts w:ascii="Times New Roman" w:hAnsi="Times New Roman"/>
          <w:sz w:val="24"/>
        </w:rPr>
        <w:t xml:space="preserve"> mukaisesti</w:t>
      </w:r>
      <w:r w:rsidR="00817716">
        <w:rPr>
          <w:rFonts w:ascii="Times New Roman" w:hAnsi="Times New Roman"/>
          <w:sz w:val="24"/>
        </w:rPr>
        <w:t xml:space="preserve"> [6]</w:t>
      </w:r>
      <w:r w:rsidR="00236AEE">
        <w:rPr>
          <w:rFonts w:ascii="Times New Roman" w:hAnsi="Times New Roman"/>
          <w:sz w:val="24"/>
        </w:rPr>
        <w:t xml:space="preserve"> vuoden </w:t>
      </w:r>
      <w:r w:rsidR="00582019">
        <w:rPr>
          <w:rFonts w:ascii="Times New Roman" w:hAnsi="Times New Roman"/>
          <w:sz w:val="24"/>
        </w:rPr>
        <w:t xml:space="preserve">2016 </w:t>
      </w:r>
      <w:r w:rsidR="004A2408">
        <w:rPr>
          <w:rFonts w:ascii="Times New Roman" w:hAnsi="Times New Roman"/>
          <w:sz w:val="24"/>
        </w:rPr>
        <w:t>keskimääräisille autokannoille</w:t>
      </w:r>
      <w:r w:rsidR="0015496C">
        <w:rPr>
          <w:rFonts w:ascii="Times New Roman" w:hAnsi="Times New Roman"/>
          <w:sz w:val="24"/>
        </w:rPr>
        <w:t>. Polttoa</w:t>
      </w:r>
      <w:r w:rsidR="0015496C">
        <w:rPr>
          <w:rFonts w:ascii="Times New Roman" w:hAnsi="Times New Roman"/>
          <w:sz w:val="24"/>
        </w:rPr>
        <w:t>i</w:t>
      </w:r>
      <w:r w:rsidR="0015496C">
        <w:rPr>
          <w:rFonts w:ascii="Times New Roman" w:hAnsi="Times New Roman"/>
          <w:sz w:val="24"/>
        </w:rPr>
        <w:t xml:space="preserve">neiden valmistamisen päästöt perustuvat </w:t>
      </w:r>
      <w:proofErr w:type="spellStart"/>
      <w:r w:rsidR="0015496C">
        <w:rPr>
          <w:rFonts w:ascii="Times New Roman" w:hAnsi="Times New Roman"/>
          <w:sz w:val="24"/>
        </w:rPr>
        <w:t>Ecoinvent</w:t>
      </w:r>
      <w:proofErr w:type="spellEnd"/>
      <w:r w:rsidR="0015496C">
        <w:rPr>
          <w:rFonts w:ascii="Times New Roman" w:hAnsi="Times New Roman"/>
          <w:sz w:val="24"/>
        </w:rPr>
        <w:t xml:space="preserve"> 3.5 </w:t>
      </w:r>
      <w:r w:rsidR="00AB4273">
        <w:rPr>
          <w:rFonts w:ascii="Times New Roman" w:hAnsi="Times New Roman"/>
          <w:sz w:val="24"/>
        </w:rPr>
        <w:t>-</w:t>
      </w:r>
      <w:r w:rsidR="0015496C">
        <w:rPr>
          <w:rFonts w:ascii="Times New Roman" w:hAnsi="Times New Roman"/>
          <w:sz w:val="24"/>
        </w:rPr>
        <w:t xml:space="preserve">tietokantaan </w:t>
      </w:r>
      <w:proofErr w:type="spellStart"/>
      <w:r w:rsidR="0015496C">
        <w:rPr>
          <w:rFonts w:ascii="Times New Roman" w:hAnsi="Times New Roman"/>
          <w:sz w:val="24"/>
        </w:rPr>
        <w:t>ReCiPe-keskipistemallinnukse</w:t>
      </w:r>
      <w:r w:rsidR="0015496C">
        <w:rPr>
          <w:rFonts w:ascii="Times New Roman" w:hAnsi="Times New Roman"/>
          <w:sz w:val="24"/>
        </w:rPr>
        <w:t>l</w:t>
      </w:r>
      <w:r w:rsidR="0015496C">
        <w:rPr>
          <w:rFonts w:ascii="Times New Roman" w:hAnsi="Times New Roman"/>
          <w:sz w:val="24"/>
        </w:rPr>
        <w:t>le</w:t>
      </w:r>
      <w:proofErr w:type="spellEnd"/>
      <w:r w:rsidR="0015496C">
        <w:rPr>
          <w:rFonts w:ascii="Times New Roman" w:hAnsi="Times New Roman"/>
          <w:sz w:val="24"/>
        </w:rPr>
        <w:t xml:space="preserve"> 100-vuoden yli (</w:t>
      </w:r>
      <w:proofErr w:type="spellStart"/>
      <w:r w:rsidR="00050DAD">
        <w:rPr>
          <w:rFonts w:ascii="Times New Roman" w:hAnsi="Times New Roman"/>
          <w:sz w:val="24"/>
        </w:rPr>
        <w:t>midpoint</w:t>
      </w:r>
      <w:proofErr w:type="spellEnd"/>
      <w:r w:rsidR="00050DAD">
        <w:rPr>
          <w:rFonts w:ascii="Times New Roman" w:hAnsi="Times New Roman"/>
          <w:sz w:val="24"/>
        </w:rPr>
        <w:t xml:space="preserve"> </w:t>
      </w:r>
      <w:proofErr w:type="spellStart"/>
      <w:r w:rsidR="0015496C">
        <w:rPr>
          <w:rFonts w:ascii="Times New Roman" w:hAnsi="Times New Roman"/>
          <w:sz w:val="24"/>
        </w:rPr>
        <w:t>hierarchist</w:t>
      </w:r>
      <w:proofErr w:type="spellEnd"/>
      <w:r w:rsidR="0015496C">
        <w:rPr>
          <w:rFonts w:ascii="Times New Roman" w:hAnsi="Times New Roman"/>
          <w:sz w:val="24"/>
        </w:rPr>
        <w:t>)</w:t>
      </w:r>
      <w:r w:rsidR="00A17D92">
        <w:rPr>
          <w:rFonts w:ascii="Times New Roman" w:hAnsi="Times New Roman"/>
          <w:sz w:val="24"/>
        </w:rPr>
        <w:t xml:space="preserve"> [7]</w:t>
      </w:r>
      <w:r w:rsidR="0015496C">
        <w:rPr>
          <w:rFonts w:ascii="Times New Roman" w:hAnsi="Times New Roman"/>
          <w:sz w:val="24"/>
        </w:rPr>
        <w:t>.</w:t>
      </w:r>
    </w:p>
    <w:p w:rsidR="00941AF8" w:rsidRPr="00941AF8" w:rsidRDefault="00941AF8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9F6482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Metaanin ja </w:t>
      </w:r>
      <w:proofErr w:type="spellStart"/>
      <w:r>
        <w:rPr>
          <w:rFonts w:ascii="Times New Roman" w:hAnsi="Times New Roman"/>
          <w:sz w:val="24"/>
        </w:rPr>
        <w:t>dityppioksidin</w:t>
      </w:r>
      <w:proofErr w:type="spellEnd"/>
      <w:r>
        <w:rPr>
          <w:rFonts w:ascii="Times New Roman" w:hAnsi="Times New Roman"/>
          <w:sz w:val="24"/>
        </w:rPr>
        <w:t xml:space="preserve"> ilmastonlämmitysvaikutusta kuvaavina GWP</w:t>
      </w:r>
      <w:r>
        <w:rPr>
          <w:rFonts w:ascii="Times New Roman" w:hAnsi="Times New Roman"/>
          <w:sz w:val="16"/>
          <w:szCs w:val="16"/>
        </w:rPr>
        <w:t>100</w:t>
      </w:r>
      <w:r>
        <w:rPr>
          <w:rFonts w:ascii="Times New Roman" w:hAnsi="Times New Roman"/>
          <w:sz w:val="24"/>
        </w:rPr>
        <w:t xml:space="preserve">-kertoimina käytettiin </w:t>
      </w:r>
      <w:proofErr w:type="spellStart"/>
      <w:r>
        <w:rPr>
          <w:rFonts w:ascii="Times New Roman" w:hAnsi="Times New Roman"/>
          <w:sz w:val="24"/>
        </w:rPr>
        <w:t>IPCC:n</w:t>
      </w:r>
      <w:proofErr w:type="spellEnd"/>
      <w:r>
        <w:rPr>
          <w:rFonts w:ascii="Times New Roman" w:hAnsi="Times New Roman"/>
          <w:sz w:val="24"/>
        </w:rPr>
        <w:t xml:space="preserve"> (20</w:t>
      </w:r>
      <w:r w:rsidR="00FA73DD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) mukaisia kertoimia: </w:t>
      </w:r>
      <w:r w:rsidR="00203A8A">
        <w:rPr>
          <w:rFonts w:ascii="Times New Roman" w:hAnsi="Times New Roman"/>
          <w:sz w:val="24"/>
        </w:rPr>
        <w:t>metaanin (</w:t>
      </w:r>
      <w:r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16"/>
          <w:szCs w:val="16"/>
        </w:rPr>
        <w:t>4</w:t>
      </w:r>
      <w:r w:rsidR="00203A8A">
        <w:rPr>
          <w:rFonts w:ascii="Times New Roman" w:hAnsi="Times New Roman"/>
          <w:sz w:val="24"/>
        </w:rPr>
        <w:t>) 2</w:t>
      </w:r>
      <w:r w:rsidR="00FA73DD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ja</w:t>
      </w:r>
      <w:r w:rsidR="00203A8A" w:rsidRPr="00203A8A">
        <w:rPr>
          <w:rFonts w:ascii="Times New Roman" w:hAnsi="Times New Roman"/>
          <w:sz w:val="24"/>
        </w:rPr>
        <w:t xml:space="preserve"> </w:t>
      </w:r>
      <w:proofErr w:type="spellStart"/>
      <w:r w:rsidR="00203A8A">
        <w:rPr>
          <w:rFonts w:ascii="Times New Roman" w:hAnsi="Times New Roman"/>
          <w:sz w:val="24"/>
        </w:rPr>
        <w:t>dityppioksidin</w:t>
      </w:r>
      <w:proofErr w:type="spellEnd"/>
      <w:r w:rsidR="00203A8A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4"/>
        </w:rPr>
        <w:t>O</w:t>
      </w:r>
      <w:r w:rsidR="00203A8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2</w:t>
      </w:r>
      <w:r w:rsidR="00FA73DD">
        <w:rPr>
          <w:rFonts w:ascii="Times New Roman" w:hAnsi="Times New Roman"/>
          <w:sz w:val="24"/>
        </w:rPr>
        <w:t>65</w:t>
      </w:r>
      <w:r w:rsidR="00A17D92">
        <w:rPr>
          <w:rFonts w:ascii="Times New Roman" w:hAnsi="Times New Roman"/>
          <w:sz w:val="24"/>
        </w:rPr>
        <w:t xml:space="preserve"> [8]</w:t>
      </w:r>
      <w:r>
        <w:rPr>
          <w:rFonts w:ascii="Times New Roman" w:hAnsi="Times New Roman"/>
          <w:sz w:val="24"/>
        </w:rPr>
        <w:t>. Niiden avulla voitiin muodostaa tarvittavat hiilidioksidiekvivalentit. Päästökertoimet laskuriin saatiin sä</w:t>
      </w: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kön osalta</w:t>
      </w:r>
      <w:r w:rsidR="00203A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Lämmöntuotannon osalta hyödynnettiin Tilastok</w:t>
      </w:r>
      <w:r w:rsidR="00A17D92">
        <w:rPr>
          <w:rFonts w:ascii="Times New Roman" w:hAnsi="Times New Roman"/>
          <w:sz w:val="24"/>
        </w:rPr>
        <w:t>eskuksen polttoaineluokitusta [9]</w:t>
      </w:r>
      <w:r>
        <w:rPr>
          <w:rFonts w:ascii="Times New Roman" w:hAnsi="Times New Roman"/>
          <w:sz w:val="24"/>
        </w:rPr>
        <w:t>, josta saatiin päästökertoimet hiilidioksidille nestekaasun, kevyen ja raskaan polttoöljyn, maakaasun, tu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peen, puuperäisten ja kasviperäisten polttoaineiden sekä biokaasun osalta. </w:t>
      </w:r>
    </w:p>
    <w:p w:rsidR="009F6482" w:rsidRDefault="009F648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9F6482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Biopolttoaineiden poltosta aiheutuvaa hiilidioksidipäästöä ei</w:t>
      </w:r>
      <w:r w:rsidR="009F6482">
        <w:rPr>
          <w:rFonts w:ascii="Times New Roman" w:hAnsi="Times New Roman"/>
          <w:sz w:val="24"/>
        </w:rPr>
        <w:t xml:space="preserve"> huomioida </w:t>
      </w:r>
      <w:r>
        <w:rPr>
          <w:rFonts w:ascii="Times New Roman" w:hAnsi="Times New Roman"/>
          <w:sz w:val="24"/>
        </w:rPr>
        <w:t>kasvihuonekaasuinventa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riossa, vaan sitä seurataan erillään muista päästöistä, </w:t>
      </w:r>
      <w:r w:rsidRPr="00B3487A">
        <w:rPr>
          <w:rFonts w:ascii="Times New Roman" w:hAnsi="Times New Roman"/>
          <w:sz w:val="24"/>
        </w:rPr>
        <w:t xml:space="preserve">koska </w:t>
      </w:r>
      <w:proofErr w:type="spellStart"/>
      <w:r w:rsidRPr="00B3487A">
        <w:rPr>
          <w:rFonts w:ascii="Times New Roman" w:hAnsi="Times New Roman"/>
          <w:sz w:val="24"/>
        </w:rPr>
        <w:t>Corporate</w:t>
      </w:r>
      <w:proofErr w:type="spellEnd"/>
      <w:r w:rsidRPr="00B3487A">
        <w:rPr>
          <w:rFonts w:ascii="Times New Roman" w:hAnsi="Times New Roman"/>
          <w:sz w:val="24"/>
        </w:rPr>
        <w:t xml:space="preserve"> Accounting and Reporting -standardin perusteella biopolttoaineiden</w:t>
      </w:r>
      <w:r>
        <w:rPr>
          <w:rFonts w:ascii="Times New Roman" w:hAnsi="Times New Roman"/>
          <w:sz w:val="24"/>
        </w:rPr>
        <w:t xml:space="preserve"> aiheuttama hiilidioksidipäästö nähdään osana luonnollista hiilenkiertoa. Koska Tilastokeskuksen polttoaineluokituksessa on päästökerroin vain hiilidioksidi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le, käytettiin metaanin ja </w:t>
      </w:r>
      <w:proofErr w:type="spellStart"/>
      <w:r>
        <w:rPr>
          <w:rFonts w:ascii="Times New Roman" w:hAnsi="Times New Roman"/>
          <w:sz w:val="24"/>
        </w:rPr>
        <w:t>dityppioksidin</w:t>
      </w:r>
      <w:proofErr w:type="spellEnd"/>
      <w:r>
        <w:rPr>
          <w:rFonts w:ascii="Times New Roman" w:hAnsi="Times New Roman"/>
          <w:sz w:val="24"/>
        </w:rPr>
        <w:t xml:space="preserve"> päästökertoimien lähte</w:t>
      </w:r>
      <w:r w:rsidR="00A17D92">
        <w:rPr>
          <w:rFonts w:ascii="Times New Roman" w:hAnsi="Times New Roman"/>
          <w:sz w:val="24"/>
        </w:rPr>
        <w:t>enä</w:t>
      </w:r>
      <w:r>
        <w:rPr>
          <w:rFonts w:ascii="Times New Roman" w:hAnsi="Times New Roman"/>
          <w:sz w:val="24"/>
        </w:rPr>
        <w:t xml:space="preserve"> VTT:n </w:t>
      </w:r>
      <w:r w:rsidR="00A17D92">
        <w:rPr>
          <w:rFonts w:ascii="Times New Roman" w:hAnsi="Times New Roman"/>
          <w:sz w:val="24"/>
        </w:rPr>
        <w:t>vuonna 2016</w:t>
      </w:r>
      <w:r>
        <w:rPr>
          <w:rFonts w:ascii="Times New Roman" w:hAnsi="Times New Roman"/>
          <w:sz w:val="24"/>
        </w:rPr>
        <w:t xml:space="preserve"> julkaisemaa tutkimusta</w:t>
      </w:r>
      <w:r w:rsidR="00A17D92">
        <w:rPr>
          <w:rFonts w:ascii="Times New Roman" w:hAnsi="Times New Roman"/>
          <w:sz w:val="24"/>
        </w:rPr>
        <w:t xml:space="preserve"> [1</w:t>
      </w:r>
      <w:r w:rsidR="004A2408">
        <w:rPr>
          <w:rFonts w:ascii="Times New Roman" w:hAnsi="Times New Roman"/>
          <w:sz w:val="24"/>
        </w:rPr>
        <w:t>0</w:t>
      </w:r>
      <w:r w:rsidR="00A17D92">
        <w:rPr>
          <w:rFonts w:ascii="Times New Roman" w:hAnsi="Times New Roman"/>
          <w:sz w:val="24"/>
        </w:rPr>
        <w:t>]</w:t>
      </w:r>
      <w:r w:rsidR="00AB427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josta päästökertoimet saatiin edellä mainituille polttoaineille lukuun ottamatta ne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te- ja maakaasua. Laskuri huomioi biopolttoaineiden poltosta muodostuvan metaanin ja </w:t>
      </w:r>
      <w:proofErr w:type="spellStart"/>
      <w:r>
        <w:rPr>
          <w:rFonts w:ascii="Times New Roman" w:hAnsi="Times New Roman"/>
          <w:sz w:val="24"/>
        </w:rPr>
        <w:t>dityppio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sidin</w:t>
      </w:r>
      <w:proofErr w:type="spellEnd"/>
      <w:r>
        <w:rPr>
          <w:rFonts w:ascii="Times New Roman" w:hAnsi="Times New Roman"/>
          <w:sz w:val="24"/>
        </w:rPr>
        <w:t xml:space="preserve"> pä</w:t>
      </w:r>
      <w:r w:rsidR="00A17D92">
        <w:rPr>
          <w:rFonts w:ascii="Times New Roman" w:hAnsi="Times New Roman"/>
          <w:sz w:val="24"/>
        </w:rPr>
        <w:t>ästöt mukaan hiilijalanjälkeen.</w:t>
      </w:r>
    </w:p>
    <w:p w:rsidR="009F6482" w:rsidRDefault="009F648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9F6482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Jätehuollon osalta laskurissa huomioidaan </w:t>
      </w:r>
      <w:r w:rsidR="00A17D92">
        <w:rPr>
          <w:rFonts w:ascii="Times New Roman" w:hAnsi="Times New Roman"/>
          <w:sz w:val="24"/>
        </w:rPr>
        <w:t>useita kierrätettäviä ja poltettavia jätelajeja</w:t>
      </w:r>
      <w:r>
        <w:rPr>
          <w:rFonts w:ascii="Times New Roman" w:hAnsi="Times New Roman"/>
          <w:sz w:val="24"/>
        </w:rPr>
        <w:t xml:space="preserve"> kuljetuks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neen. Päästökertoimet </w:t>
      </w:r>
      <w:r w:rsidR="00A17D92">
        <w:rPr>
          <w:rFonts w:ascii="Times New Roman" w:hAnsi="Times New Roman"/>
          <w:sz w:val="24"/>
        </w:rPr>
        <w:t>kierrätys</w:t>
      </w:r>
      <w:r>
        <w:rPr>
          <w:rFonts w:ascii="Times New Roman" w:hAnsi="Times New Roman"/>
          <w:sz w:val="24"/>
        </w:rPr>
        <w:t>käsittelylle</w:t>
      </w:r>
      <w:r w:rsidR="00A17D92">
        <w:rPr>
          <w:rFonts w:ascii="Times New Roman" w:hAnsi="Times New Roman"/>
          <w:sz w:val="24"/>
        </w:rPr>
        <w:t xml:space="preserve"> saatiin </w:t>
      </w:r>
      <w:proofErr w:type="spellStart"/>
      <w:r w:rsidR="00A17D92">
        <w:rPr>
          <w:rFonts w:ascii="Times New Roman" w:hAnsi="Times New Roman"/>
          <w:sz w:val="24"/>
        </w:rPr>
        <w:t>ecoinventin</w:t>
      </w:r>
      <w:proofErr w:type="spellEnd"/>
      <w:r w:rsidR="00A17D92">
        <w:rPr>
          <w:rFonts w:ascii="Times New Roman" w:hAnsi="Times New Roman"/>
          <w:sz w:val="24"/>
        </w:rPr>
        <w:t xml:space="preserve"> tietokannoista</w:t>
      </w:r>
      <w:r w:rsidR="00817716">
        <w:rPr>
          <w:rFonts w:ascii="Times New Roman" w:hAnsi="Times New Roman"/>
          <w:sz w:val="24"/>
        </w:rPr>
        <w:t>[7]</w:t>
      </w:r>
      <w:r w:rsidR="00A17D92">
        <w:rPr>
          <w:rFonts w:ascii="Times New Roman" w:hAnsi="Times New Roman"/>
          <w:sz w:val="24"/>
        </w:rPr>
        <w:t>. Polton päästöke</w:t>
      </w:r>
      <w:r w:rsidR="00A17D92">
        <w:rPr>
          <w:rFonts w:ascii="Times New Roman" w:hAnsi="Times New Roman"/>
          <w:sz w:val="24"/>
        </w:rPr>
        <w:t>r</w:t>
      </w:r>
      <w:r w:rsidR="00A17D92">
        <w:rPr>
          <w:rFonts w:ascii="Times New Roman" w:hAnsi="Times New Roman"/>
          <w:sz w:val="24"/>
        </w:rPr>
        <w:t>toimina käytettiin</w:t>
      </w:r>
      <w:r w:rsidR="00817716">
        <w:rPr>
          <w:rFonts w:ascii="Times New Roman" w:hAnsi="Times New Roman"/>
          <w:sz w:val="24"/>
        </w:rPr>
        <w:t xml:space="preserve"> </w:t>
      </w:r>
      <w:r w:rsidR="00A17D92">
        <w:rPr>
          <w:rFonts w:ascii="Times New Roman" w:hAnsi="Times New Roman"/>
          <w:sz w:val="24"/>
        </w:rPr>
        <w:t>Tilastokeskuksen polttoainekertoimia [</w:t>
      </w:r>
      <w:r w:rsidR="00817716">
        <w:rPr>
          <w:rFonts w:ascii="Times New Roman" w:hAnsi="Times New Roman"/>
          <w:sz w:val="24"/>
        </w:rPr>
        <w:t>9</w:t>
      </w:r>
      <w:r w:rsidR="00A17D92">
        <w:rPr>
          <w:rFonts w:ascii="Times New Roman" w:hAnsi="Times New Roman"/>
          <w:sz w:val="24"/>
        </w:rPr>
        <w:t>]</w:t>
      </w:r>
      <w:r w:rsidR="00817716">
        <w:rPr>
          <w:rFonts w:ascii="Times New Roman" w:hAnsi="Times New Roman"/>
          <w:sz w:val="24"/>
        </w:rPr>
        <w:t>.</w:t>
      </w:r>
      <w:r w:rsidR="00050DAD" w:rsidRPr="00050DAD">
        <w:rPr>
          <w:rFonts w:ascii="Times New Roman" w:hAnsi="Times New Roman"/>
          <w:sz w:val="24"/>
        </w:rPr>
        <w:t xml:space="preserve"> </w:t>
      </w:r>
      <w:r w:rsidR="00050DAD">
        <w:rPr>
          <w:rFonts w:ascii="Times New Roman" w:hAnsi="Times New Roman"/>
          <w:sz w:val="24"/>
        </w:rPr>
        <w:t xml:space="preserve">Jätekuljetuksien </w:t>
      </w:r>
      <w:r w:rsidR="00050DAD">
        <w:rPr>
          <w:rFonts w:ascii="Times New Roman" w:hAnsi="Times New Roman"/>
          <w:sz w:val="24"/>
        </w:rPr>
        <w:t>päästökerroin on</w:t>
      </w:r>
      <w:r w:rsidR="00050DAD">
        <w:rPr>
          <w:rFonts w:ascii="Times New Roman" w:hAnsi="Times New Roman"/>
          <w:sz w:val="24"/>
        </w:rPr>
        <w:t xml:space="preserve"> VTT:n </w:t>
      </w:r>
      <w:proofErr w:type="spellStart"/>
      <w:r w:rsidR="00050DAD">
        <w:rPr>
          <w:rFonts w:ascii="Times New Roman" w:hAnsi="Times New Roman"/>
          <w:sz w:val="24"/>
        </w:rPr>
        <w:t>LIPASTO-tietokannan</w:t>
      </w:r>
      <w:proofErr w:type="spellEnd"/>
      <w:r w:rsidR="009A6896">
        <w:rPr>
          <w:rFonts w:ascii="Times New Roman" w:hAnsi="Times New Roman"/>
          <w:sz w:val="24"/>
        </w:rPr>
        <w:t xml:space="preserve"> </w:t>
      </w:r>
      <w:r w:rsidR="009A6896">
        <w:rPr>
          <w:rFonts w:ascii="Times New Roman" w:hAnsi="Times New Roman"/>
          <w:sz w:val="24"/>
        </w:rPr>
        <w:t>[6]</w:t>
      </w:r>
      <w:r w:rsidR="00050DAD">
        <w:rPr>
          <w:rFonts w:ascii="Times New Roman" w:hAnsi="Times New Roman"/>
          <w:sz w:val="24"/>
        </w:rPr>
        <w:t xml:space="preserve"> </w:t>
      </w:r>
      <w:r w:rsidR="00050DAD">
        <w:rPr>
          <w:rFonts w:ascii="Times New Roman" w:hAnsi="Times New Roman"/>
          <w:sz w:val="24"/>
        </w:rPr>
        <w:t>mukainen päästö</w:t>
      </w:r>
      <w:r w:rsidR="009A6896">
        <w:rPr>
          <w:rFonts w:ascii="Times New Roman" w:hAnsi="Times New Roman"/>
          <w:sz w:val="24"/>
        </w:rPr>
        <w:t xml:space="preserve"> </w:t>
      </w:r>
      <w:r w:rsidR="00050DAD">
        <w:rPr>
          <w:rFonts w:ascii="Times New Roman" w:hAnsi="Times New Roman"/>
          <w:sz w:val="24"/>
        </w:rPr>
        <w:t xml:space="preserve">17.5 tonnin kuormalla </w:t>
      </w:r>
      <w:r w:rsidR="009A6896">
        <w:rPr>
          <w:rFonts w:ascii="Times New Roman" w:hAnsi="Times New Roman"/>
          <w:sz w:val="24"/>
        </w:rPr>
        <w:t xml:space="preserve">kulkevalle </w:t>
      </w:r>
      <w:r w:rsidR="00050DAD">
        <w:rPr>
          <w:rFonts w:ascii="Times New Roman" w:hAnsi="Times New Roman"/>
          <w:sz w:val="24"/>
        </w:rPr>
        <w:t>puoliperäva</w:t>
      </w:r>
      <w:r w:rsidR="00050DAD">
        <w:rPr>
          <w:rFonts w:ascii="Times New Roman" w:hAnsi="Times New Roman"/>
          <w:sz w:val="24"/>
        </w:rPr>
        <w:t>u</w:t>
      </w:r>
      <w:r w:rsidR="00050DAD">
        <w:rPr>
          <w:rFonts w:ascii="Times New Roman" w:hAnsi="Times New Roman"/>
          <w:sz w:val="24"/>
        </w:rPr>
        <w:t>null</w:t>
      </w:r>
      <w:r w:rsidR="009A6896">
        <w:rPr>
          <w:rFonts w:ascii="Times New Roman" w:hAnsi="Times New Roman"/>
          <w:sz w:val="24"/>
        </w:rPr>
        <w:t xml:space="preserve">iselle </w:t>
      </w:r>
      <w:r w:rsidR="00050DAD">
        <w:rPr>
          <w:rFonts w:ascii="Times New Roman" w:hAnsi="Times New Roman"/>
          <w:sz w:val="24"/>
        </w:rPr>
        <w:t>re</w:t>
      </w:r>
      <w:r w:rsidR="009A6896">
        <w:rPr>
          <w:rFonts w:ascii="Times New Roman" w:hAnsi="Times New Roman"/>
          <w:sz w:val="24"/>
        </w:rPr>
        <w:t>kalle</w:t>
      </w:r>
      <w:r w:rsidR="00050DAD">
        <w:rPr>
          <w:rFonts w:ascii="Times New Roman" w:hAnsi="Times New Roman"/>
          <w:sz w:val="24"/>
        </w:rPr>
        <w:t xml:space="preserve"> k</w:t>
      </w:r>
      <w:r w:rsidR="00050DAD">
        <w:rPr>
          <w:rFonts w:ascii="Times New Roman" w:hAnsi="Times New Roman"/>
          <w:sz w:val="24"/>
        </w:rPr>
        <w:t>a</w:t>
      </w:r>
      <w:r w:rsidR="00050DAD">
        <w:rPr>
          <w:rFonts w:ascii="Times New Roman" w:hAnsi="Times New Roman"/>
          <w:sz w:val="24"/>
        </w:rPr>
        <w:t>tuajossa</w:t>
      </w:r>
      <w:r w:rsidR="009A6896">
        <w:rPr>
          <w:rFonts w:ascii="Times New Roman" w:hAnsi="Times New Roman"/>
          <w:sz w:val="24"/>
        </w:rPr>
        <w:t>.</w:t>
      </w:r>
    </w:p>
    <w:p w:rsidR="00817716" w:rsidRDefault="00817716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3487A" w:rsidRDefault="00B3487A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Liikematkustamisen osalta päästökertoimet saatiin VTT:n </w:t>
      </w:r>
      <w:proofErr w:type="spellStart"/>
      <w:r>
        <w:rPr>
          <w:rFonts w:ascii="Times New Roman" w:hAnsi="Times New Roman"/>
          <w:sz w:val="24"/>
        </w:rPr>
        <w:t>LIPASTO</w:t>
      </w:r>
      <w:r w:rsidR="00AB427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tietokannasta</w:t>
      </w:r>
      <w:proofErr w:type="spellEnd"/>
      <w:r w:rsidR="00B00424">
        <w:rPr>
          <w:rFonts w:ascii="Times New Roman" w:hAnsi="Times New Roman"/>
          <w:sz w:val="24"/>
        </w:rPr>
        <w:t xml:space="preserve"> [6]</w:t>
      </w:r>
      <w:r w:rsidR="00236AEE">
        <w:rPr>
          <w:rFonts w:ascii="Times New Roman" w:hAnsi="Times New Roman"/>
          <w:sz w:val="24"/>
        </w:rPr>
        <w:t>,</w:t>
      </w:r>
      <w:r w:rsidR="00B00424">
        <w:rPr>
          <w:rFonts w:ascii="Times New Roman" w:hAnsi="Times New Roman"/>
          <w:sz w:val="24"/>
        </w:rPr>
        <w:t xml:space="preserve"> paitsi lent</w:t>
      </w:r>
      <w:r w:rsidR="00B00424">
        <w:rPr>
          <w:rFonts w:ascii="Times New Roman" w:hAnsi="Times New Roman"/>
          <w:sz w:val="24"/>
        </w:rPr>
        <w:t>o</w:t>
      </w:r>
      <w:r w:rsidR="00B00424">
        <w:rPr>
          <w:rFonts w:ascii="Times New Roman" w:hAnsi="Times New Roman"/>
          <w:sz w:val="24"/>
        </w:rPr>
        <w:t>jen päästölaskennassa käytettiin Finnairin [5] laskuria</w:t>
      </w:r>
      <w:r>
        <w:rPr>
          <w:rFonts w:ascii="Times New Roman" w:hAnsi="Times New Roman"/>
          <w:sz w:val="24"/>
        </w:rPr>
        <w:t>. Kotimaan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lentojen oletettiin tapahtuvan po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kuriturbiinilla varuste</w:t>
      </w:r>
      <w:r w:rsidR="009F6482">
        <w:rPr>
          <w:rFonts w:ascii="Times New Roman" w:hAnsi="Times New Roman"/>
          <w:sz w:val="24"/>
        </w:rPr>
        <w:t xml:space="preserve">tulla lentokoneella ja Euroopan </w:t>
      </w:r>
      <w:r>
        <w:rPr>
          <w:rFonts w:ascii="Times New Roman" w:hAnsi="Times New Roman"/>
          <w:sz w:val="24"/>
        </w:rPr>
        <w:t>sekä kaukolentojen su</w:t>
      </w:r>
      <w:r w:rsidR="00B00424">
        <w:rPr>
          <w:rFonts w:ascii="Times New Roman" w:hAnsi="Times New Roman"/>
          <w:sz w:val="24"/>
        </w:rPr>
        <w:t>ihkuturbiinilla. Laskurin reitteinä olivat Helsin</w:t>
      </w:r>
      <w:r w:rsidR="00AB4273">
        <w:rPr>
          <w:rFonts w:ascii="Times New Roman" w:hAnsi="Times New Roman"/>
          <w:sz w:val="24"/>
        </w:rPr>
        <w:t>ki-</w:t>
      </w:r>
      <w:r w:rsidR="00B00424">
        <w:rPr>
          <w:rFonts w:ascii="Times New Roman" w:hAnsi="Times New Roman"/>
          <w:sz w:val="24"/>
        </w:rPr>
        <w:t xml:space="preserve">Joensuu, </w:t>
      </w:r>
      <w:r w:rsidR="00AB4273">
        <w:rPr>
          <w:rFonts w:ascii="Times New Roman" w:hAnsi="Times New Roman"/>
          <w:sz w:val="24"/>
        </w:rPr>
        <w:t>Helsinki-</w:t>
      </w:r>
      <w:r w:rsidR="00B00424">
        <w:rPr>
          <w:rFonts w:ascii="Times New Roman" w:hAnsi="Times New Roman"/>
          <w:sz w:val="24"/>
        </w:rPr>
        <w:t xml:space="preserve">Oulu, </w:t>
      </w:r>
      <w:r w:rsidR="00AB4273">
        <w:rPr>
          <w:rFonts w:ascii="Times New Roman" w:hAnsi="Times New Roman"/>
          <w:sz w:val="24"/>
        </w:rPr>
        <w:t>Helsinki-</w:t>
      </w:r>
      <w:r w:rsidR="00B00424">
        <w:rPr>
          <w:rFonts w:ascii="Times New Roman" w:hAnsi="Times New Roman"/>
          <w:sz w:val="24"/>
        </w:rPr>
        <w:t xml:space="preserve">Pariisi ja </w:t>
      </w:r>
      <w:r w:rsidR="00AB4273">
        <w:rPr>
          <w:rFonts w:ascii="Times New Roman" w:hAnsi="Times New Roman"/>
          <w:sz w:val="24"/>
        </w:rPr>
        <w:t>Helsinki-</w:t>
      </w:r>
      <w:r w:rsidR="00B00424">
        <w:rPr>
          <w:rFonts w:ascii="Times New Roman" w:hAnsi="Times New Roman"/>
          <w:sz w:val="24"/>
        </w:rPr>
        <w:t>Tokio</w:t>
      </w:r>
      <w:r>
        <w:rPr>
          <w:rFonts w:ascii="Times New Roman" w:hAnsi="Times New Roman"/>
          <w:sz w:val="24"/>
        </w:rPr>
        <w:t>. Henkilöauto</w:t>
      </w:r>
      <w:r w:rsidR="00B00424">
        <w:rPr>
          <w:rFonts w:ascii="Times New Roman" w:hAnsi="Times New Roman"/>
          <w:sz w:val="24"/>
        </w:rPr>
        <w:t>i</w:t>
      </w:r>
      <w:r w:rsidR="00B00424">
        <w:rPr>
          <w:rFonts w:ascii="Times New Roman" w:hAnsi="Times New Roman"/>
          <w:sz w:val="24"/>
        </w:rPr>
        <w:t>lu</w:t>
      </w:r>
      <w:r w:rsidR="00236AEE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(bensiini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 diesel)</w:t>
      </w:r>
      <w:r w:rsidR="00B00424">
        <w:rPr>
          <w:rFonts w:ascii="Times New Roman" w:hAnsi="Times New Roman"/>
          <w:sz w:val="24"/>
        </w:rPr>
        <w:t xml:space="preserve"> </w:t>
      </w:r>
      <w:r w:rsidR="00236AEE">
        <w:rPr>
          <w:rFonts w:ascii="Times New Roman" w:hAnsi="Times New Roman"/>
          <w:sz w:val="24"/>
        </w:rPr>
        <w:t xml:space="preserve">oletettiin muodostuvan 73 % maantieajosta ja 27 % katuajosta </w:t>
      </w:r>
      <w:r w:rsidR="00B00424">
        <w:rPr>
          <w:rFonts w:ascii="Times New Roman" w:hAnsi="Times New Roman"/>
          <w:sz w:val="24"/>
        </w:rPr>
        <w:t>ja taksi</w:t>
      </w:r>
      <w:r w:rsidR="00236AEE">
        <w:rPr>
          <w:rFonts w:ascii="Times New Roman" w:hAnsi="Times New Roman"/>
          <w:sz w:val="24"/>
        </w:rPr>
        <w:t>auto</w:t>
      </w:r>
      <w:r w:rsidR="00236AEE">
        <w:rPr>
          <w:rFonts w:ascii="Times New Roman" w:hAnsi="Times New Roman"/>
          <w:sz w:val="24"/>
        </w:rPr>
        <w:t>i</w:t>
      </w:r>
      <w:r w:rsidR="00236AEE">
        <w:rPr>
          <w:rFonts w:ascii="Times New Roman" w:hAnsi="Times New Roman"/>
          <w:sz w:val="24"/>
        </w:rPr>
        <w:lastRenderedPageBreak/>
        <w:t>lussa käytettiin taajama- ja katuajoa</w:t>
      </w:r>
      <w:r w:rsidR="00B00424">
        <w:rPr>
          <w:rFonts w:ascii="Times New Roman" w:hAnsi="Times New Roman"/>
          <w:sz w:val="24"/>
        </w:rPr>
        <w:t xml:space="preserve"> (diesel)</w:t>
      </w:r>
      <w:r>
        <w:rPr>
          <w:rFonts w:ascii="Times New Roman" w:hAnsi="Times New Roman"/>
          <w:sz w:val="24"/>
        </w:rPr>
        <w:t xml:space="preserve"> </w:t>
      </w:r>
      <w:r w:rsidR="00236AEE">
        <w:rPr>
          <w:rFonts w:ascii="Times New Roman" w:hAnsi="Times New Roman"/>
          <w:sz w:val="24"/>
        </w:rPr>
        <w:t>käyttäen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v. 20</w:t>
      </w:r>
      <w:r w:rsidR="00236AEE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keskiarvoa</w:t>
      </w:r>
      <w:r w:rsidR="00236AE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Linja-autokilometrien osalta käytettiin myös v. 20</w:t>
      </w:r>
      <w:r w:rsidR="00236AEE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keskiarvoa ja oletettiin matkustuksen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tapahtuvan kaupunkilinja-autolla, jossa on 18 matkustajaa. Junamatkojen oletettiin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tapahtuvan sähköisellä Intercity</w:t>
      </w:r>
      <w:r w:rsidR="00236AEE">
        <w:rPr>
          <w:rFonts w:ascii="Times New Roman" w:hAnsi="Times New Roman"/>
          <w:sz w:val="24"/>
        </w:rPr>
        <w:t xml:space="preserve">- tai </w:t>
      </w:r>
      <w:r w:rsidR="00AB4273">
        <w:rPr>
          <w:rFonts w:ascii="Times New Roman" w:hAnsi="Times New Roman"/>
          <w:sz w:val="24"/>
        </w:rPr>
        <w:t>P</w:t>
      </w:r>
      <w:r w:rsidR="00236AEE">
        <w:rPr>
          <w:rFonts w:ascii="Times New Roman" w:hAnsi="Times New Roman"/>
          <w:sz w:val="24"/>
        </w:rPr>
        <w:t>e</w:t>
      </w:r>
      <w:r w:rsidR="00236AEE">
        <w:rPr>
          <w:rFonts w:ascii="Times New Roman" w:hAnsi="Times New Roman"/>
          <w:sz w:val="24"/>
        </w:rPr>
        <w:t>n</w:t>
      </w:r>
      <w:r w:rsidR="00236AEE">
        <w:rPr>
          <w:rFonts w:ascii="Times New Roman" w:hAnsi="Times New Roman"/>
          <w:sz w:val="24"/>
        </w:rPr>
        <w:t>dolino</w:t>
      </w:r>
      <w:r w:rsidR="00AB427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junalla</w:t>
      </w:r>
      <w:r w:rsidR="00236AEE">
        <w:rPr>
          <w:rFonts w:ascii="Times New Roman" w:hAnsi="Times New Roman"/>
          <w:sz w:val="24"/>
        </w:rPr>
        <w:t xml:space="preserve">, ja </w:t>
      </w:r>
      <w:r w:rsidR="00AB4273">
        <w:rPr>
          <w:rFonts w:ascii="Times New Roman" w:hAnsi="Times New Roman"/>
          <w:sz w:val="24"/>
        </w:rPr>
        <w:t xml:space="preserve">laskennassa </w:t>
      </w:r>
      <w:r w:rsidR="00236AEE">
        <w:rPr>
          <w:rFonts w:ascii="Times New Roman" w:hAnsi="Times New Roman"/>
          <w:sz w:val="24"/>
        </w:rPr>
        <w:t>käytettiin niiden keskimääräistä sähkönkulutusta ke</w:t>
      </w:r>
      <w:r w:rsidR="00236AEE">
        <w:rPr>
          <w:rFonts w:ascii="Times New Roman" w:hAnsi="Times New Roman"/>
          <w:sz w:val="24"/>
        </w:rPr>
        <w:t>r</w:t>
      </w:r>
      <w:r w:rsidR="00236AEE">
        <w:rPr>
          <w:rFonts w:ascii="Times New Roman" w:hAnsi="Times New Roman"/>
          <w:sz w:val="24"/>
        </w:rPr>
        <w:t xml:space="preserve">toen se </w:t>
      </w:r>
      <w:proofErr w:type="spellStart"/>
      <w:r w:rsidR="00236AEE">
        <w:rPr>
          <w:rFonts w:ascii="Times New Roman" w:hAnsi="Times New Roman"/>
          <w:sz w:val="24"/>
        </w:rPr>
        <w:t>Motivan</w:t>
      </w:r>
      <w:proofErr w:type="spellEnd"/>
      <w:r w:rsidR="00236AEE">
        <w:rPr>
          <w:rFonts w:ascii="Times New Roman" w:hAnsi="Times New Roman"/>
          <w:sz w:val="24"/>
        </w:rPr>
        <w:t xml:space="preserve"> [1</w:t>
      </w:r>
      <w:r w:rsidR="004A2408">
        <w:rPr>
          <w:rFonts w:ascii="Times New Roman" w:hAnsi="Times New Roman"/>
          <w:sz w:val="24"/>
        </w:rPr>
        <w:t>1</w:t>
      </w:r>
      <w:r w:rsidR="00236AEE">
        <w:rPr>
          <w:rFonts w:ascii="Times New Roman" w:hAnsi="Times New Roman"/>
          <w:sz w:val="24"/>
        </w:rPr>
        <w:t>] päästöker</w:t>
      </w:r>
      <w:r w:rsidR="00AB4273">
        <w:rPr>
          <w:rFonts w:ascii="Times New Roman" w:hAnsi="Times New Roman"/>
          <w:sz w:val="24"/>
        </w:rPr>
        <w:t>toimella</w:t>
      </w:r>
      <w:r>
        <w:rPr>
          <w:rFonts w:ascii="Times New Roman" w:hAnsi="Times New Roman"/>
          <w:sz w:val="24"/>
        </w:rPr>
        <w:t>. Hotelliyöpymisen aiheuttama kasvihuonekaasupäästö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saatiin tutk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muksesta Suomen kansantalouden materiaalivirtojen ympäristövaikutusten</w:t>
      </w:r>
      <w:r w:rsidR="009F6482">
        <w:rPr>
          <w:rFonts w:ascii="Times New Roman" w:hAnsi="Times New Roman"/>
          <w:sz w:val="24"/>
        </w:rPr>
        <w:t xml:space="preserve"> </w:t>
      </w:r>
      <w:r w:rsidR="00B00424">
        <w:rPr>
          <w:rFonts w:ascii="Times New Roman" w:hAnsi="Times New Roman"/>
          <w:sz w:val="24"/>
        </w:rPr>
        <w:t xml:space="preserve">arviointi </w:t>
      </w:r>
      <w:proofErr w:type="spellStart"/>
      <w:r w:rsidR="00B00424">
        <w:rPr>
          <w:rFonts w:ascii="Times New Roman" w:hAnsi="Times New Roman"/>
          <w:sz w:val="24"/>
        </w:rPr>
        <w:t>ENVIMAT-mallilla</w:t>
      </w:r>
      <w:proofErr w:type="spellEnd"/>
      <w:r w:rsidR="00B00424">
        <w:rPr>
          <w:rFonts w:ascii="Times New Roman" w:hAnsi="Times New Roman"/>
          <w:sz w:val="24"/>
        </w:rPr>
        <w:t xml:space="preserve"> [1</w:t>
      </w:r>
      <w:r w:rsidR="004A2408">
        <w:rPr>
          <w:rFonts w:ascii="Times New Roman" w:hAnsi="Times New Roman"/>
          <w:sz w:val="24"/>
        </w:rPr>
        <w:t>2</w:t>
      </w:r>
      <w:r w:rsidR="00B00424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 Hotelliyöpymisen</w:t>
      </w:r>
      <w:r w:rsidR="009F64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olet</w:t>
      </w:r>
      <w:r w:rsidR="00B00424">
        <w:rPr>
          <w:rFonts w:ascii="Times New Roman" w:hAnsi="Times New Roman"/>
          <w:sz w:val="24"/>
        </w:rPr>
        <w:t>ushinta on</w:t>
      </w:r>
      <w:r>
        <w:rPr>
          <w:rFonts w:ascii="Times New Roman" w:hAnsi="Times New Roman"/>
          <w:sz w:val="24"/>
        </w:rPr>
        <w:t xml:space="preserve"> 80 euroa/vrk.</w:t>
      </w:r>
    </w:p>
    <w:p w:rsidR="009F6482" w:rsidRDefault="009F648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E4D41" w:rsidRDefault="00FE4D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41AF8" w:rsidRPr="00FA2D7C" w:rsidRDefault="00941AF8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9F6482" w:rsidRDefault="009F6482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9F6482">
        <w:rPr>
          <w:rFonts w:ascii="Times New Roman" w:hAnsi="Times New Roman"/>
          <w:sz w:val="24"/>
          <w:lang w:val="en-GB"/>
        </w:rPr>
        <w:t>Lähteet</w:t>
      </w:r>
      <w:proofErr w:type="spellEnd"/>
      <w:r w:rsidRPr="009F6482">
        <w:rPr>
          <w:rFonts w:ascii="Times New Roman" w:hAnsi="Times New Roman"/>
          <w:sz w:val="24"/>
          <w:lang w:val="en-GB"/>
        </w:rPr>
        <w:t>:</w:t>
      </w:r>
    </w:p>
    <w:p w:rsidR="0015496C" w:rsidRPr="009F6482" w:rsidRDefault="0015496C" w:rsidP="009F64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:rsidR="0053334F" w:rsidRPr="004A2408" w:rsidRDefault="0053334F" w:rsidP="005333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 xml:space="preserve">[1] Kontiokorpi Leea Anniina. 2011. </w:t>
      </w:r>
      <w:proofErr w:type="spellStart"/>
      <w:r w:rsidRPr="004A2408">
        <w:rPr>
          <w:rFonts w:asciiTheme="minorHAnsi" w:hAnsiTheme="minorHAnsi"/>
          <w:sz w:val="20"/>
          <w:szCs w:val="20"/>
        </w:rPr>
        <w:t>Energia-ja</w:t>
      </w:r>
      <w:proofErr w:type="spellEnd"/>
      <w:r w:rsidRPr="004A2408">
        <w:rPr>
          <w:rFonts w:asciiTheme="minorHAnsi" w:hAnsiTheme="minorHAnsi"/>
          <w:sz w:val="20"/>
          <w:szCs w:val="20"/>
        </w:rPr>
        <w:t xml:space="preserve"> ilmastotoimenpiteiden käynnistäminen pk-yrityksissä. Diplomityö. </w:t>
      </w:r>
      <w:proofErr w:type="gramStart"/>
      <w:r w:rsidRPr="004A2408">
        <w:rPr>
          <w:rFonts w:asciiTheme="minorHAnsi" w:hAnsiTheme="minorHAnsi"/>
          <w:sz w:val="20"/>
          <w:szCs w:val="20"/>
        </w:rPr>
        <w:t>La</w:t>
      </w:r>
      <w:r w:rsidRPr="004A2408">
        <w:rPr>
          <w:rFonts w:asciiTheme="minorHAnsi" w:hAnsiTheme="minorHAnsi"/>
          <w:sz w:val="20"/>
          <w:szCs w:val="20"/>
        </w:rPr>
        <w:t>p</w:t>
      </w:r>
      <w:r w:rsidRPr="004A2408">
        <w:rPr>
          <w:rFonts w:asciiTheme="minorHAnsi" w:hAnsiTheme="minorHAnsi"/>
          <w:sz w:val="20"/>
          <w:szCs w:val="20"/>
        </w:rPr>
        <w:t>peenrannan teknillinen yliopisto.</w:t>
      </w:r>
      <w:proofErr w:type="gramEnd"/>
      <w:r w:rsidRPr="004A2408">
        <w:rPr>
          <w:rFonts w:asciiTheme="minorHAnsi" w:hAnsiTheme="minorHAnsi"/>
          <w:sz w:val="20"/>
          <w:szCs w:val="20"/>
        </w:rPr>
        <w:t xml:space="preserve"> Saatavissa:</w:t>
      </w:r>
    </w:p>
    <w:p w:rsidR="009F6482" w:rsidRPr="004A2408" w:rsidRDefault="004E4DD1" w:rsidP="0053334F">
      <w:pPr>
        <w:autoSpaceDE w:val="0"/>
        <w:autoSpaceDN w:val="0"/>
        <w:adjustRightInd w:val="0"/>
        <w:rPr>
          <w:rStyle w:val="Hyperlink"/>
          <w:rFonts w:asciiTheme="minorHAnsi" w:hAnsiTheme="minorHAnsi"/>
          <w:iCs/>
          <w:sz w:val="20"/>
          <w:szCs w:val="20"/>
        </w:rPr>
      </w:pPr>
      <w:hyperlink r:id="rId11" w:history="1">
        <w:r w:rsidR="0053334F" w:rsidRPr="004A2408">
          <w:rPr>
            <w:rStyle w:val="Hyperlink"/>
            <w:rFonts w:asciiTheme="minorHAnsi" w:hAnsiTheme="minorHAnsi"/>
            <w:iCs/>
            <w:sz w:val="20"/>
            <w:szCs w:val="20"/>
          </w:rPr>
          <w:t>http://www.doria.fi/handle/10024/69993</w:t>
        </w:r>
      </w:hyperlink>
    </w:p>
    <w:p w:rsidR="00FE4D41" w:rsidRPr="004A2408" w:rsidRDefault="00FE4D41" w:rsidP="005333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A2408" w:rsidRPr="004A2408" w:rsidRDefault="00FE4D41" w:rsidP="004A240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GB"/>
        </w:rPr>
      </w:pPr>
      <w:r w:rsidRPr="004A2408">
        <w:rPr>
          <w:rFonts w:asciiTheme="minorHAnsi" w:hAnsiTheme="minorHAnsi"/>
          <w:sz w:val="20"/>
          <w:szCs w:val="20"/>
          <w:lang w:val="en-US"/>
        </w:rPr>
        <w:t xml:space="preserve">[2] </w:t>
      </w:r>
      <w:r w:rsidR="004A2408" w:rsidRPr="004A2408">
        <w:rPr>
          <w:rFonts w:asciiTheme="minorHAnsi" w:hAnsiTheme="minorHAnsi"/>
          <w:sz w:val="20"/>
          <w:szCs w:val="20"/>
          <w:lang w:val="en-GB"/>
        </w:rPr>
        <w:t xml:space="preserve">WRI &amp; WBCSD. </w:t>
      </w:r>
      <w:smartTag w:uri="urn:schemas-microsoft-com:office:smarttags" w:element="metricconverter">
        <w:smartTagPr>
          <w:attr w:name="ProductID" w:val="2004. A"/>
        </w:smartTagPr>
        <w:r w:rsidR="004A2408" w:rsidRPr="004A2408">
          <w:rPr>
            <w:rFonts w:asciiTheme="minorHAnsi" w:hAnsiTheme="minorHAnsi"/>
            <w:sz w:val="20"/>
            <w:szCs w:val="20"/>
            <w:lang w:val="en-GB"/>
          </w:rPr>
          <w:t>2004. A</w:t>
        </w:r>
      </w:smartTag>
      <w:r w:rsidR="004A2408" w:rsidRPr="004A2408">
        <w:rPr>
          <w:rFonts w:asciiTheme="minorHAnsi" w:hAnsiTheme="minorHAnsi"/>
          <w:sz w:val="20"/>
          <w:szCs w:val="20"/>
          <w:lang w:val="en-GB"/>
        </w:rPr>
        <w:t xml:space="preserve"> Corporate Accounting and Reporting Standard [</w:t>
      </w:r>
      <w:proofErr w:type="spellStart"/>
      <w:r w:rsidR="004A2408" w:rsidRPr="004A2408">
        <w:rPr>
          <w:rFonts w:asciiTheme="minorHAnsi" w:hAnsiTheme="minorHAnsi"/>
          <w:sz w:val="20"/>
          <w:szCs w:val="20"/>
          <w:lang w:val="en-GB"/>
        </w:rPr>
        <w:t>verkkojulkaisu</w:t>
      </w:r>
      <w:proofErr w:type="spellEnd"/>
      <w:r w:rsidR="004A2408" w:rsidRPr="004A2408">
        <w:rPr>
          <w:rFonts w:asciiTheme="minorHAnsi" w:hAnsiTheme="minorHAnsi"/>
          <w:sz w:val="20"/>
          <w:szCs w:val="20"/>
          <w:lang w:val="en-GB"/>
        </w:rPr>
        <w:t>].</w:t>
      </w:r>
    </w:p>
    <w:p w:rsidR="004A2408" w:rsidRPr="004A2408" w:rsidRDefault="004A2408" w:rsidP="004A240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proofErr w:type="gramStart"/>
      <w:r w:rsidRPr="004A2408">
        <w:rPr>
          <w:rFonts w:asciiTheme="minorHAnsi" w:hAnsiTheme="minorHAnsi"/>
          <w:sz w:val="20"/>
          <w:szCs w:val="20"/>
          <w:lang w:val="en-GB"/>
        </w:rPr>
        <w:t>The Greenhouse Gas Protocol Initiative.</w:t>
      </w:r>
      <w:proofErr w:type="gramEnd"/>
      <w:r w:rsidRPr="004A2408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4A2408">
        <w:rPr>
          <w:rFonts w:asciiTheme="minorHAnsi" w:hAnsiTheme="minorHAnsi"/>
          <w:sz w:val="20"/>
          <w:szCs w:val="20"/>
        </w:rPr>
        <w:t>112 s. [viitattu 12.1.2011]. Saatavissa:</w:t>
      </w:r>
    </w:p>
    <w:p w:rsidR="004A2408" w:rsidRPr="004A2408" w:rsidRDefault="004E4DD1" w:rsidP="004A2408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n-US"/>
        </w:rPr>
      </w:pPr>
      <w:hyperlink r:id="rId12" w:history="1">
        <w:r w:rsidR="004A2408" w:rsidRPr="004A2408">
          <w:rPr>
            <w:rStyle w:val="Hyperlink"/>
            <w:rFonts w:asciiTheme="minorHAnsi" w:hAnsiTheme="minorHAnsi"/>
            <w:sz w:val="20"/>
            <w:szCs w:val="20"/>
          </w:rPr>
          <w:t>http://www.ghgprotocol.org/standards/corporate-standard</w:t>
        </w:r>
      </w:hyperlink>
      <w:r w:rsidR="004A2408" w:rsidRPr="004A2408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="004A2408" w:rsidRPr="004A2408">
        <w:rPr>
          <w:rFonts w:asciiTheme="minorHAnsi" w:hAnsiTheme="minorHAnsi"/>
          <w:sz w:val="20"/>
          <w:szCs w:val="20"/>
          <w:lang w:val="en-US"/>
        </w:rPr>
        <w:t>ISBN 1-56973-568-9.</w:t>
      </w:r>
      <w:proofErr w:type="gramEnd"/>
    </w:p>
    <w:p w:rsidR="004A2408" w:rsidRPr="004A2408" w:rsidRDefault="004A2408" w:rsidP="005333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4A2408" w:rsidRPr="004A2408" w:rsidRDefault="004A2408" w:rsidP="005333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53334F" w:rsidRPr="004A2408" w:rsidRDefault="00B37172" w:rsidP="005333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>[3</w:t>
      </w:r>
      <w:r w:rsidR="00FE4D41" w:rsidRPr="004A2408">
        <w:rPr>
          <w:rFonts w:asciiTheme="minorHAnsi" w:hAnsiTheme="minorHAnsi"/>
          <w:sz w:val="20"/>
          <w:szCs w:val="20"/>
        </w:rPr>
        <w:t xml:space="preserve">] </w:t>
      </w:r>
      <w:r w:rsidR="0053334F" w:rsidRPr="004A2408">
        <w:rPr>
          <w:rFonts w:asciiTheme="minorHAnsi" w:hAnsiTheme="minorHAnsi"/>
          <w:sz w:val="20"/>
          <w:szCs w:val="20"/>
        </w:rPr>
        <w:t>Suomen ympäristökeskus. 2011. Suomen sähkönhankinnan päästöt elinkaarilaskelmissa</w:t>
      </w:r>
    </w:p>
    <w:p w:rsidR="0053334F" w:rsidRPr="004A2408" w:rsidRDefault="0053334F" w:rsidP="005333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>[verkkojulkaisu]. [viitattu 13.11.2019]. Saatavissa: https</w:t>
      </w:r>
      <w:proofErr w:type="gramStart"/>
      <w:r w:rsidRPr="004A2408">
        <w:rPr>
          <w:rFonts w:asciiTheme="minorHAnsi" w:hAnsiTheme="minorHAnsi"/>
          <w:sz w:val="20"/>
          <w:szCs w:val="20"/>
        </w:rPr>
        <w:t>://</w:t>
      </w:r>
      <w:proofErr w:type="gramEnd"/>
      <w:r w:rsidRPr="004A2408">
        <w:rPr>
          <w:rFonts w:asciiTheme="minorHAnsi" w:hAnsiTheme="minorHAnsi"/>
          <w:sz w:val="20"/>
          <w:szCs w:val="20"/>
        </w:rPr>
        <w:t>www.ymparisto.fi/fi-FI/Kulutus_ja_tuotanto/Resurssitehokkuus/Elinkaariajattelu/Sahkonhankinnan_paastot</w:t>
      </w:r>
    </w:p>
    <w:p w:rsidR="00B37172" w:rsidRPr="004A2408" w:rsidRDefault="00B37172" w:rsidP="00B3717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B37172" w:rsidRPr="004343D3" w:rsidRDefault="0015496C" w:rsidP="00B3717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  <w:r w:rsidRPr="004343D3">
        <w:rPr>
          <w:rFonts w:asciiTheme="minorHAnsi" w:hAnsiTheme="minorHAnsi"/>
          <w:sz w:val="20"/>
          <w:szCs w:val="20"/>
          <w:lang w:val="en-US"/>
        </w:rPr>
        <w:t>[4</w:t>
      </w:r>
      <w:r w:rsidR="00B37172" w:rsidRPr="004343D3">
        <w:rPr>
          <w:rFonts w:asciiTheme="minorHAnsi" w:hAnsiTheme="minorHAnsi"/>
          <w:sz w:val="20"/>
          <w:szCs w:val="20"/>
          <w:lang w:val="en-US"/>
        </w:rPr>
        <w:t>] IPCC 2014.</w:t>
      </w:r>
      <w:r w:rsidR="00B37172" w:rsidRPr="004A2408">
        <w:rPr>
          <w:rFonts w:asciiTheme="minorHAnsi" w:hAnsiTheme="minorHAnsi"/>
          <w:sz w:val="20"/>
          <w:szCs w:val="20"/>
          <w:lang w:val="en-US"/>
        </w:rPr>
        <w:t xml:space="preserve"> Annex III: Technology-specific cost and performance parameters. In: Climate Change 2014: Mitigation of Climate Change. </w:t>
      </w:r>
      <w:r w:rsidR="00B37172" w:rsidRPr="004343D3">
        <w:rPr>
          <w:rFonts w:asciiTheme="minorHAnsi" w:hAnsiTheme="minorHAnsi"/>
          <w:sz w:val="20"/>
          <w:szCs w:val="20"/>
          <w:lang w:val="en-US"/>
        </w:rPr>
        <w:t>[</w:t>
      </w:r>
      <w:proofErr w:type="spellStart"/>
      <w:proofErr w:type="gramStart"/>
      <w:r w:rsidR="00B37172" w:rsidRPr="004343D3">
        <w:rPr>
          <w:rFonts w:asciiTheme="minorHAnsi" w:hAnsiTheme="minorHAnsi"/>
          <w:sz w:val="20"/>
          <w:szCs w:val="20"/>
          <w:lang w:val="en-US"/>
        </w:rPr>
        <w:t>verkkojulkaisu</w:t>
      </w:r>
      <w:proofErr w:type="spellEnd"/>
      <w:proofErr w:type="gramEnd"/>
      <w:r w:rsidR="00B37172" w:rsidRPr="004343D3">
        <w:rPr>
          <w:rFonts w:asciiTheme="minorHAnsi" w:hAnsiTheme="minorHAnsi"/>
          <w:sz w:val="20"/>
          <w:szCs w:val="20"/>
          <w:lang w:val="en-US"/>
        </w:rPr>
        <w:t>]. [</w:t>
      </w:r>
      <w:proofErr w:type="spellStart"/>
      <w:proofErr w:type="gramStart"/>
      <w:r w:rsidR="00B37172" w:rsidRPr="004343D3">
        <w:rPr>
          <w:rFonts w:asciiTheme="minorHAnsi" w:hAnsiTheme="minorHAnsi"/>
          <w:sz w:val="20"/>
          <w:szCs w:val="20"/>
          <w:lang w:val="en-US"/>
        </w:rPr>
        <w:t>viitattu</w:t>
      </w:r>
      <w:proofErr w:type="spellEnd"/>
      <w:proofErr w:type="gramEnd"/>
      <w:r w:rsidR="00B37172" w:rsidRPr="004343D3">
        <w:rPr>
          <w:rFonts w:asciiTheme="minorHAnsi" w:hAnsiTheme="minorHAnsi"/>
          <w:sz w:val="20"/>
          <w:szCs w:val="20"/>
          <w:lang w:val="en-US"/>
        </w:rPr>
        <w:t xml:space="preserve"> 13.11.2019] https://www.ipcc.ch/site/assets/uploads/2018/02/ipcc_wg3_ar5_annex-iii.pdf</w:t>
      </w:r>
    </w:p>
    <w:p w:rsidR="0053334F" w:rsidRPr="004343D3" w:rsidRDefault="0053334F" w:rsidP="005333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</w:p>
    <w:p w:rsidR="0015496C" w:rsidRPr="004A2408" w:rsidRDefault="0015496C" w:rsidP="0015496C">
      <w:pPr>
        <w:rPr>
          <w:rFonts w:asciiTheme="minorHAnsi" w:hAnsiTheme="minorHAnsi" w:cs="Arial"/>
          <w:sz w:val="20"/>
          <w:szCs w:val="20"/>
          <w:lang w:eastAsia="en-US"/>
        </w:rPr>
      </w:pPr>
      <w:r w:rsidRPr="004A2408">
        <w:rPr>
          <w:rFonts w:asciiTheme="minorHAnsi" w:hAnsiTheme="minorHAnsi"/>
          <w:sz w:val="20"/>
          <w:szCs w:val="20"/>
        </w:rPr>
        <w:t xml:space="preserve">[5] </w:t>
      </w:r>
      <w:r w:rsidRPr="004A2408">
        <w:rPr>
          <w:rFonts w:asciiTheme="minorHAnsi" w:hAnsiTheme="minorHAnsi" w:cs="Arial"/>
          <w:sz w:val="20"/>
          <w:szCs w:val="20"/>
          <w:lang w:eastAsia="en-US"/>
        </w:rPr>
        <w:t>Finnairin päästölaskuri [verkkojulkaisu]. [viitattu 13.11.</w:t>
      </w:r>
      <w:proofErr w:type="gramStart"/>
      <w:r w:rsidRPr="004A2408">
        <w:rPr>
          <w:rFonts w:asciiTheme="minorHAnsi" w:hAnsiTheme="minorHAnsi" w:cs="Arial"/>
          <w:sz w:val="20"/>
          <w:szCs w:val="20"/>
          <w:lang w:eastAsia="en-US"/>
        </w:rPr>
        <w:t>2019]  https</w:t>
      </w:r>
      <w:proofErr w:type="gramEnd"/>
      <w:r w:rsidRPr="004A2408">
        <w:rPr>
          <w:rFonts w:asciiTheme="minorHAnsi" w:hAnsiTheme="minorHAnsi" w:cs="Arial"/>
          <w:sz w:val="20"/>
          <w:szCs w:val="20"/>
          <w:lang w:eastAsia="en-US"/>
        </w:rPr>
        <w:t>://www.finnair.com/fi/fi/emissions-calculator</w:t>
      </w:r>
    </w:p>
    <w:p w:rsidR="0015496C" w:rsidRPr="004A2408" w:rsidRDefault="0015496C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15496C" w:rsidRPr="004A2408" w:rsidRDefault="0015496C" w:rsidP="0015496C">
      <w:pPr>
        <w:rPr>
          <w:rFonts w:asciiTheme="minorHAnsi" w:hAnsiTheme="minorHAnsi" w:cs="Arial"/>
          <w:sz w:val="20"/>
          <w:szCs w:val="20"/>
          <w:lang w:eastAsia="en-US"/>
        </w:rPr>
      </w:pPr>
      <w:r w:rsidRPr="004A2408">
        <w:rPr>
          <w:rFonts w:asciiTheme="minorHAnsi" w:hAnsiTheme="minorHAnsi"/>
          <w:sz w:val="20"/>
          <w:szCs w:val="20"/>
        </w:rPr>
        <w:t xml:space="preserve">[6] </w:t>
      </w:r>
      <w:r w:rsidRPr="004A2408">
        <w:rPr>
          <w:rFonts w:asciiTheme="minorHAnsi" w:hAnsiTheme="minorHAnsi" w:cs="Arial"/>
          <w:sz w:val="20"/>
          <w:szCs w:val="20"/>
          <w:lang w:eastAsia="en-US"/>
        </w:rPr>
        <w:t xml:space="preserve">VTT 2017. </w:t>
      </w:r>
      <w:proofErr w:type="gramStart"/>
      <w:r w:rsidRPr="004A2408">
        <w:rPr>
          <w:rFonts w:asciiTheme="minorHAnsi" w:hAnsiTheme="minorHAnsi" w:cs="Arial"/>
          <w:sz w:val="20"/>
          <w:szCs w:val="20"/>
          <w:lang w:eastAsia="en-US"/>
        </w:rPr>
        <w:t xml:space="preserve">Lipasto yksikköpäästötiedot vuodelta 2017. [verkkojulkaisu] [viitattu 4.11.2019] </w:t>
      </w:r>
      <w:r w:rsidR="00A17D92" w:rsidRPr="004A2408">
        <w:rPr>
          <w:rFonts w:asciiTheme="minorHAnsi" w:hAnsiTheme="minorHAnsi" w:cs="Arial"/>
          <w:sz w:val="20"/>
          <w:szCs w:val="20"/>
          <w:lang w:eastAsia="en-US"/>
        </w:rPr>
        <w:t xml:space="preserve">Saatavilla: </w:t>
      </w:r>
      <w:r w:rsidRPr="004A2408">
        <w:rPr>
          <w:rFonts w:asciiTheme="minorHAnsi" w:hAnsiTheme="minorHAnsi" w:cs="Arial"/>
          <w:sz w:val="20"/>
          <w:szCs w:val="20"/>
          <w:lang w:eastAsia="en-US"/>
        </w:rPr>
        <w:t>http://lipasto.vtt.fi/</w:t>
      </w:r>
      <w:proofErr w:type="gramEnd"/>
    </w:p>
    <w:p w:rsidR="0015496C" w:rsidRPr="004A2408" w:rsidRDefault="0015496C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15496C" w:rsidRPr="004A2408" w:rsidRDefault="0015496C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 xml:space="preserve">[7] </w:t>
      </w:r>
      <w:proofErr w:type="spellStart"/>
      <w:r w:rsidRPr="004A2408">
        <w:rPr>
          <w:rFonts w:asciiTheme="minorHAnsi" w:hAnsiTheme="minorHAnsi"/>
          <w:sz w:val="20"/>
          <w:szCs w:val="20"/>
        </w:rPr>
        <w:t>Ecoinvent</w:t>
      </w:r>
      <w:proofErr w:type="spellEnd"/>
      <w:r w:rsidRPr="004A2408">
        <w:rPr>
          <w:rFonts w:asciiTheme="minorHAnsi" w:hAnsiTheme="minorHAnsi"/>
          <w:sz w:val="20"/>
          <w:szCs w:val="20"/>
        </w:rPr>
        <w:t xml:space="preserve"> 3.5. Verkkoresurssi: https</w:t>
      </w:r>
      <w:proofErr w:type="gramStart"/>
      <w:r w:rsidRPr="004A2408">
        <w:rPr>
          <w:rFonts w:asciiTheme="minorHAnsi" w:hAnsiTheme="minorHAnsi"/>
          <w:sz w:val="20"/>
          <w:szCs w:val="20"/>
        </w:rPr>
        <w:t>://</w:t>
      </w:r>
      <w:proofErr w:type="gramEnd"/>
      <w:r w:rsidRPr="004A2408">
        <w:rPr>
          <w:rFonts w:asciiTheme="minorHAnsi" w:hAnsiTheme="minorHAnsi"/>
          <w:sz w:val="20"/>
          <w:szCs w:val="20"/>
        </w:rPr>
        <w:t>www.ecoinvent.org/database/database.html</w:t>
      </w:r>
    </w:p>
    <w:p w:rsidR="0015496C" w:rsidRPr="004A2408" w:rsidRDefault="0015496C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FA73DD" w:rsidRPr="004A2408" w:rsidRDefault="00203A8A" w:rsidP="00FA73DD">
      <w:pPr>
        <w:rPr>
          <w:rFonts w:asciiTheme="minorHAnsi" w:hAnsiTheme="minorHAnsi" w:cs="Arial"/>
          <w:sz w:val="20"/>
          <w:szCs w:val="20"/>
          <w:lang w:val="en-US" w:eastAsia="en-US"/>
        </w:rPr>
      </w:pPr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>[8]</w:t>
      </w:r>
      <w:r w:rsidR="00FA73DD" w:rsidRPr="004A2408">
        <w:rPr>
          <w:rFonts w:asciiTheme="minorHAnsi" w:hAnsiTheme="minorHAnsi" w:cs="Arial"/>
          <w:sz w:val="20"/>
          <w:szCs w:val="20"/>
          <w:lang w:val="en-US" w:eastAsia="en-US"/>
        </w:rPr>
        <w:t xml:space="preserve"> </w:t>
      </w:r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>IPPC 2013: IPCC Fifth Assessment Report: Climate Change 2013,</w:t>
      </w:r>
      <w:r w:rsidRPr="004A2408">
        <w:rPr>
          <w:rFonts w:asciiTheme="minorHAnsi" w:hAnsiTheme="minorHAnsi"/>
          <w:sz w:val="20"/>
          <w:szCs w:val="20"/>
          <w:lang w:val="en-US"/>
        </w:rPr>
        <w:t xml:space="preserve"> Anthropogenic and Natural Radiative Forcing</w:t>
      </w:r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 xml:space="preserve">, 2013. </w:t>
      </w:r>
      <w:r w:rsidRPr="004A2408">
        <w:rPr>
          <w:rFonts w:asciiTheme="minorHAnsi" w:hAnsiTheme="minorHAnsi" w:cs="Arial"/>
          <w:sz w:val="20"/>
          <w:szCs w:val="20"/>
          <w:lang w:eastAsia="en-US"/>
        </w:rPr>
        <w:t>Saatavilla osoitteesta: https</w:t>
      </w:r>
      <w:proofErr w:type="gramStart"/>
      <w:r w:rsidRPr="004A2408">
        <w:rPr>
          <w:rFonts w:asciiTheme="minorHAnsi" w:hAnsiTheme="minorHAnsi" w:cs="Arial"/>
          <w:sz w:val="20"/>
          <w:szCs w:val="20"/>
          <w:lang w:eastAsia="en-US"/>
        </w:rPr>
        <w:t>://</w:t>
      </w:r>
      <w:proofErr w:type="gramEnd"/>
      <w:r w:rsidRPr="004A2408">
        <w:rPr>
          <w:rFonts w:asciiTheme="minorHAnsi" w:hAnsiTheme="minorHAnsi" w:cs="Arial"/>
          <w:sz w:val="20"/>
          <w:szCs w:val="20"/>
          <w:lang w:eastAsia="en-US"/>
        </w:rPr>
        <w:t xml:space="preserve">archive.ipcc.ch/pdf/assessment-report/ar5/wg1/WG1AR5_Chapter08_FINAL.pdf (p. 73-79). </w:t>
      </w:r>
      <w:proofErr w:type="gramStart"/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 xml:space="preserve">GWP100 </w:t>
      </w:r>
      <w:proofErr w:type="spellStart"/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>arvot</w:t>
      </w:r>
      <w:proofErr w:type="spellEnd"/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 xml:space="preserve"> </w:t>
      </w:r>
      <w:proofErr w:type="spellStart"/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>ovat</w:t>
      </w:r>
      <w:proofErr w:type="spellEnd"/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 xml:space="preserve"> “without inclusion of climate–carbon feedbacks (cc fb)”.</w:t>
      </w:r>
      <w:proofErr w:type="gramEnd"/>
      <w:r w:rsidRPr="004A2408">
        <w:rPr>
          <w:rFonts w:asciiTheme="minorHAnsi" w:hAnsiTheme="minorHAnsi" w:cs="Arial"/>
          <w:sz w:val="20"/>
          <w:szCs w:val="20"/>
          <w:lang w:val="en-US" w:eastAsia="en-US"/>
        </w:rPr>
        <w:t xml:space="preserve"> </w:t>
      </w:r>
    </w:p>
    <w:p w:rsidR="00FA73DD" w:rsidRPr="004A2408" w:rsidRDefault="00FA73DD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en-US"/>
        </w:rPr>
      </w:pPr>
    </w:p>
    <w:p w:rsidR="00203A8A" w:rsidRPr="004A2408" w:rsidRDefault="00203A8A" w:rsidP="00203A8A">
      <w:pPr>
        <w:rPr>
          <w:rFonts w:asciiTheme="minorHAnsi" w:hAnsiTheme="minorHAnsi" w:cs="Arial"/>
          <w:sz w:val="20"/>
          <w:szCs w:val="20"/>
          <w:lang w:eastAsia="en-US"/>
        </w:rPr>
      </w:pPr>
      <w:r w:rsidRPr="004A2408">
        <w:rPr>
          <w:rFonts w:asciiTheme="minorHAnsi" w:hAnsiTheme="minorHAnsi"/>
          <w:sz w:val="20"/>
          <w:szCs w:val="20"/>
        </w:rPr>
        <w:t xml:space="preserve">[9] </w:t>
      </w:r>
      <w:r w:rsidRPr="004A2408">
        <w:rPr>
          <w:rFonts w:asciiTheme="minorHAnsi" w:hAnsiTheme="minorHAnsi" w:cs="Arial"/>
          <w:sz w:val="20"/>
          <w:szCs w:val="20"/>
          <w:lang w:eastAsia="en-US"/>
        </w:rPr>
        <w:t>Tilastokeskus. 2019. Polttoaineluokitus 2019. Saatavilla osoitteesta [verkkojulkaisu] [viitattu 10.11.2019] https</w:t>
      </w:r>
      <w:proofErr w:type="gramStart"/>
      <w:r w:rsidRPr="004A2408">
        <w:rPr>
          <w:rFonts w:asciiTheme="minorHAnsi" w:hAnsiTheme="minorHAnsi" w:cs="Arial"/>
          <w:sz w:val="20"/>
          <w:szCs w:val="20"/>
          <w:lang w:eastAsia="en-US"/>
        </w:rPr>
        <w:t>://</w:t>
      </w:r>
      <w:proofErr w:type="gramEnd"/>
      <w:r w:rsidRPr="004A2408">
        <w:rPr>
          <w:rFonts w:asciiTheme="minorHAnsi" w:hAnsiTheme="minorHAnsi" w:cs="Arial"/>
          <w:sz w:val="20"/>
          <w:szCs w:val="20"/>
          <w:lang w:eastAsia="en-US"/>
        </w:rPr>
        <w:t>www.stat.fi/tup/khkinv/khkaasut_polttoaineluokitus.html</w:t>
      </w:r>
    </w:p>
    <w:p w:rsidR="00203A8A" w:rsidRPr="004A2408" w:rsidRDefault="00203A8A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17D92" w:rsidRPr="004A2408" w:rsidRDefault="00A17D92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17D92" w:rsidRPr="004A2408" w:rsidRDefault="004A2408" w:rsidP="00A17D9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>[10</w:t>
      </w:r>
      <w:r w:rsidR="00A17D92" w:rsidRPr="004A2408">
        <w:rPr>
          <w:rFonts w:asciiTheme="minorHAnsi" w:hAnsiTheme="minorHAnsi"/>
          <w:sz w:val="20"/>
          <w:szCs w:val="20"/>
        </w:rPr>
        <w:t xml:space="preserve">] VTT. 2006. </w:t>
      </w:r>
      <w:proofErr w:type="spellStart"/>
      <w:r w:rsidR="00A17D92" w:rsidRPr="004A2408">
        <w:rPr>
          <w:rFonts w:asciiTheme="minorHAnsi" w:hAnsiTheme="minorHAnsi"/>
          <w:sz w:val="20"/>
          <w:szCs w:val="20"/>
        </w:rPr>
        <w:t>Dityppioksidin</w:t>
      </w:r>
      <w:proofErr w:type="spellEnd"/>
      <w:r w:rsidR="00A17D92" w:rsidRPr="004A2408">
        <w:rPr>
          <w:rFonts w:asciiTheme="minorHAnsi" w:hAnsiTheme="minorHAnsi"/>
          <w:sz w:val="20"/>
          <w:szCs w:val="20"/>
        </w:rPr>
        <w:t xml:space="preserve"> (N20) ja metaanin (CH4) päästökertoimia Suomen voimalaitoksille,</w:t>
      </w:r>
    </w:p>
    <w:p w:rsidR="00A17D92" w:rsidRPr="004A2408" w:rsidRDefault="00A17D92" w:rsidP="00A17D9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sv-SE"/>
        </w:rPr>
      </w:pPr>
      <w:r w:rsidRPr="004A2408">
        <w:rPr>
          <w:rFonts w:asciiTheme="minorHAnsi" w:hAnsiTheme="minorHAnsi"/>
          <w:sz w:val="20"/>
          <w:szCs w:val="20"/>
        </w:rPr>
        <w:t xml:space="preserve">lämpökeskuksille ja pienpoltolle [verkkojulkaisu]. [viitattu 9.11.2019]. </w:t>
      </w:r>
      <w:proofErr w:type="spellStart"/>
      <w:r w:rsidRPr="004A2408">
        <w:rPr>
          <w:rFonts w:asciiTheme="minorHAnsi" w:hAnsiTheme="minorHAnsi"/>
          <w:sz w:val="20"/>
          <w:szCs w:val="20"/>
          <w:lang w:val="sv-SE"/>
        </w:rPr>
        <w:t>Saatavissa</w:t>
      </w:r>
      <w:proofErr w:type="spellEnd"/>
      <w:r w:rsidRPr="004A2408">
        <w:rPr>
          <w:rFonts w:asciiTheme="minorHAnsi" w:hAnsiTheme="minorHAnsi"/>
          <w:sz w:val="20"/>
          <w:szCs w:val="20"/>
          <w:lang w:val="sv-SE"/>
        </w:rPr>
        <w:t>:</w:t>
      </w:r>
    </w:p>
    <w:p w:rsidR="00A17D92" w:rsidRPr="004A2408" w:rsidRDefault="00EF6B5E" w:rsidP="00A17D9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sv-SE"/>
        </w:rPr>
      </w:pPr>
      <w:r>
        <w:fldChar w:fldCharType="begin"/>
      </w:r>
      <w:r w:rsidRPr="009A6896">
        <w:rPr>
          <w:lang w:val="sv-SE"/>
        </w:rPr>
        <w:instrText xml:space="preserve"> HYPERLINK "http://www.vtt.fi/inf/pdf/workingpapers/2006/W43.pdf.%20ISBN%20951-38-6595-9" </w:instrText>
      </w:r>
      <w:r>
        <w:fldChar w:fldCharType="separate"/>
      </w:r>
      <w:r w:rsidR="00A17D92" w:rsidRPr="004A2408">
        <w:rPr>
          <w:rStyle w:val="Hyperlink"/>
          <w:rFonts w:asciiTheme="minorHAnsi" w:hAnsiTheme="minorHAnsi"/>
          <w:sz w:val="20"/>
          <w:szCs w:val="20"/>
          <w:lang w:val="sv-SE"/>
        </w:rPr>
        <w:t>http://www.vtt.fi/inf/pdf/workingpapers/2006/W43.pdf. ISBN 951-38-6595-9</w:t>
      </w:r>
      <w:r>
        <w:rPr>
          <w:rStyle w:val="Hyperlink"/>
          <w:rFonts w:asciiTheme="minorHAnsi" w:hAnsiTheme="minorHAnsi"/>
          <w:sz w:val="20"/>
          <w:szCs w:val="20"/>
          <w:lang w:val="sv-SE"/>
        </w:rPr>
        <w:fldChar w:fldCharType="end"/>
      </w:r>
      <w:r w:rsidR="00A17D92" w:rsidRPr="004A2408">
        <w:rPr>
          <w:rFonts w:asciiTheme="minorHAnsi" w:hAnsiTheme="minorHAnsi"/>
          <w:sz w:val="20"/>
          <w:szCs w:val="20"/>
          <w:lang w:val="sv-SE"/>
        </w:rPr>
        <w:t>.</w:t>
      </w:r>
    </w:p>
    <w:p w:rsidR="004A2408" w:rsidRPr="009A6896" w:rsidRDefault="004A2408" w:rsidP="004A2408">
      <w:pPr>
        <w:rPr>
          <w:rFonts w:asciiTheme="minorHAnsi" w:hAnsiTheme="minorHAnsi" w:cs="Arial"/>
          <w:sz w:val="20"/>
          <w:szCs w:val="20"/>
          <w:lang w:val="en-US" w:eastAsia="en-US"/>
        </w:rPr>
      </w:pPr>
    </w:p>
    <w:p w:rsidR="004A2408" w:rsidRPr="004A2408" w:rsidRDefault="004E4DD1" w:rsidP="004A2408">
      <w:pPr>
        <w:rPr>
          <w:rFonts w:asciiTheme="minorHAnsi" w:hAnsiTheme="minorHAnsi" w:cs="Arial"/>
          <w:sz w:val="20"/>
          <w:szCs w:val="20"/>
          <w:lang w:eastAsia="en-US"/>
        </w:rPr>
      </w:pPr>
      <w:hyperlink r:id="rId13" w:history="1">
        <w:r w:rsidR="004A2408" w:rsidRPr="004A2408">
          <w:rPr>
            <w:rFonts w:asciiTheme="minorHAnsi" w:hAnsiTheme="minorHAnsi" w:cs="Arial"/>
            <w:sz w:val="20"/>
            <w:szCs w:val="20"/>
            <w:lang w:eastAsia="en-US"/>
          </w:rPr>
          <w:t>[11] Motivan päästökertoimet: [verkkojulkaisu] [viitattu 4.11.2019] saatavilla:  https://www.motiva.fi/ratkaisut/energiankaytto_suomessa/co2-laskentaohje_energiankulutuksen_hiilidioksidipaastojen_laskentaan/co2-paastokertoimet</w:t>
        </w:r>
      </w:hyperlink>
    </w:p>
    <w:p w:rsidR="009F6482" w:rsidRPr="004A2408" w:rsidRDefault="009F6482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9F6482" w:rsidRPr="004A2408" w:rsidRDefault="004A2408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 xml:space="preserve">[12] </w:t>
      </w:r>
      <w:r w:rsidR="009F6482" w:rsidRPr="004A2408">
        <w:rPr>
          <w:rFonts w:asciiTheme="minorHAnsi" w:hAnsiTheme="minorHAnsi"/>
          <w:sz w:val="20"/>
          <w:szCs w:val="20"/>
        </w:rPr>
        <w:t>Seppälä Jyri, Mäenpää Ilmo, Koskela Sirkka, Mattila Tuomas, Nissinen Ari, Katajajuuri</w:t>
      </w:r>
    </w:p>
    <w:p w:rsidR="009F6482" w:rsidRPr="004A2408" w:rsidRDefault="009F6482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A2408">
        <w:rPr>
          <w:rFonts w:asciiTheme="minorHAnsi" w:hAnsiTheme="minorHAnsi"/>
          <w:sz w:val="20"/>
          <w:szCs w:val="20"/>
        </w:rPr>
        <w:t>Juha-Matti, Härmä Tiina, Korhonen Marja-Riitta, Saarinen Merja &amp; Virtanen Yrjö. 2009. Suomen kansantalouden mat</w:t>
      </w:r>
      <w:r w:rsidRPr="004A2408">
        <w:rPr>
          <w:rFonts w:asciiTheme="minorHAnsi" w:hAnsiTheme="minorHAnsi"/>
          <w:sz w:val="20"/>
          <w:szCs w:val="20"/>
        </w:rPr>
        <w:t>e</w:t>
      </w:r>
      <w:r w:rsidRPr="004A2408">
        <w:rPr>
          <w:rFonts w:asciiTheme="minorHAnsi" w:hAnsiTheme="minorHAnsi"/>
          <w:sz w:val="20"/>
          <w:szCs w:val="20"/>
        </w:rPr>
        <w:t xml:space="preserve">riaalivirtojen ympäristövaikutusten arviointi </w:t>
      </w:r>
      <w:proofErr w:type="spellStart"/>
      <w:r w:rsidRPr="004A2408">
        <w:rPr>
          <w:rFonts w:asciiTheme="minorHAnsi" w:hAnsiTheme="minorHAnsi"/>
          <w:sz w:val="20"/>
          <w:szCs w:val="20"/>
        </w:rPr>
        <w:t>ENVIMAT-mallilla</w:t>
      </w:r>
      <w:proofErr w:type="spellEnd"/>
      <w:r w:rsidRPr="004A2408">
        <w:rPr>
          <w:rFonts w:asciiTheme="minorHAnsi" w:hAnsiTheme="minorHAnsi"/>
          <w:sz w:val="20"/>
          <w:szCs w:val="20"/>
        </w:rPr>
        <w:t xml:space="preserve"> [verkkojulkaisu]. 134 s. [viitattu 3.6.2011]. Saatavissa:</w:t>
      </w:r>
    </w:p>
    <w:p w:rsidR="009F6482" w:rsidRPr="004A2408" w:rsidRDefault="00B00424" w:rsidP="00E867A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sv-SE"/>
        </w:rPr>
      </w:pPr>
      <w:r w:rsidRPr="004A2408">
        <w:rPr>
          <w:rFonts w:asciiTheme="minorHAnsi" w:hAnsiTheme="minorHAnsi"/>
          <w:sz w:val="20"/>
          <w:szCs w:val="20"/>
          <w:lang w:val="sv-SE"/>
        </w:rPr>
        <w:t>https</w:t>
      </w:r>
      <w:proofErr w:type="gramStart"/>
      <w:r w:rsidRPr="004A2408">
        <w:rPr>
          <w:rFonts w:asciiTheme="minorHAnsi" w:hAnsiTheme="minorHAnsi"/>
          <w:sz w:val="20"/>
          <w:szCs w:val="20"/>
          <w:lang w:val="sv-SE"/>
        </w:rPr>
        <w:t>://</w:t>
      </w:r>
      <w:proofErr w:type="gramEnd"/>
      <w:r w:rsidRPr="004A2408">
        <w:rPr>
          <w:rFonts w:asciiTheme="minorHAnsi" w:hAnsiTheme="minorHAnsi"/>
          <w:sz w:val="20"/>
          <w:szCs w:val="20"/>
          <w:lang w:val="sv-SE"/>
        </w:rPr>
        <w:t>helda.helsinki.fi/bitstream/handle/10138/38010/SY20_2009_Suomen_kansantalouden_materiaalivirtojen.pdf?sequence=1&amp;isAllowed=y</w:t>
      </w:r>
      <w:r w:rsidR="009F6482" w:rsidRPr="004A2408">
        <w:rPr>
          <w:rFonts w:asciiTheme="minorHAnsi" w:hAnsiTheme="minorHAnsi"/>
          <w:sz w:val="20"/>
          <w:szCs w:val="20"/>
          <w:lang w:val="sv-SE"/>
        </w:rPr>
        <w:t>. ISBN 978-952-11-</w:t>
      </w:r>
      <w:r w:rsidR="00E867A2" w:rsidRPr="004A2408">
        <w:rPr>
          <w:rFonts w:asciiTheme="minorHAnsi" w:hAnsiTheme="minorHAnsi"/>
          <w:sz w:val="20"/>
          <w:szCs w:val="20"/>
          <w:lang w:val="sv-SE"/>
        </w:rPr>
        <w:t xml:space="preserve">3460-9 </w:t>
      </w:r>
      <w:r w:rsidR="009F6482" w:rsidRPr="004A2408">
        <w:rPr>
          <w:rFonts w:asciiTheme="minorHAnsi" w:hAnsiTheme="minorHAnsi"/>
          <w:sz w:val="20"/>
          <w:szCs w:val="20"/>
          <w:lang w:val="sv-SE"/>
        </w:rPr>
        <w:t>(PDF).</w:t>
      </w:r>
    </w:p>
    <w:p w:rsidR="009F6482" w:rsidRPr="004A2408" w:rsidRDefault="009F6482" w:rsidP="009F648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sv-SE"/>
        </w:rPr>
      </w:pPr>
    </w:p>
    <w:p w:rsidR="009F6482" w:rsidRPr="004A2408" w:rsidRDefault="009F6482" w:rsidP="009F648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sv-SE"/>
        </w:rPr>
      </w:pPr>
    </w:p>
    <w:p w:rsidR="009F6482" w:rsidRPr="004343D3" w:rsidRDefault="009F6482" w:rsidP="009F6482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sv-SE"/>
        </w:rPr>
      </w:pPr>
    </w:p>
    <w:sectPr w:rsidR="009F6482" w:rsidRPr="004343D3">
      <w:foot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D1" w:rsidRDefault="004E4DD1" w:rsidP="004701ED">
      <w:r>
        <w:separator/>
      </w:r>
    </w:p>
  </w:endnote>
  <w:endnote w:type="continuationSeparator" w:id="0">
    <w:p w:rsidR="004E4DD1" w:rsidRDefault="004E4DD1" w:rsidP="0047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ED" w:rsidRDefault="004701ED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95F7985" wp14:editId="4EC59AB0">
          <wp:simplePos x="0" y="0"/>
          <wp:positionH relativeFrom="column">
            <wp:posOffset>784860</wp:posOffset>
          </wp:positionH>
          <wp:positionV relativeFrom="paragraph">
            <wp:posOffset>-280670</wp:posOffset>
          </wp:positionV>
          <wp:extent cx="819150" cy="819150"/>
          <wp:effectExtent l="0" t="0" r="0" b="0"/>
          <wp:wrapNone/>
          <wp:docPr id="3" name="Picture 3" descr="D:\Johannan tikku\KELIPK\Viestintä\Logot\taso3_ymparistokadenjal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hannan tikku\KELIPK\Viestintä\Logot\taso3_ymparistokadenjalk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771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0891C3E" wp14:editId="570D681D">
          <wp:simplePos x="0" y="0"/>
          <wp:positionH relativeFrom="column">
            <wp:posOffset>1693545</wp:posOffset>
          </wp:positionH>
          <wp:positionV relativeFrom="paragraph">
            <wp:posOffset>-328295</wp:posOffset>
          </wp:positionV>
          <wp:extent cx="3867785" cy="868045"/>
          <wp:effectExtent l="0" t="0" r="0" b="8255"/>
          <wp:wrapNone/>
          <wp:docPr id="10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78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D1" w:rsidRDefault="004E4DD1" w:rsidP="004701ED">
      <w:r>
        <w:separator/>
      </w:r>
    </w:p>
  </w:footnote>
  <w:footnote w:type="continuationSeparator" w:id="0">
    <w:p w:rsidR="004E4DD1" w:rsidRDefault="004E4DD1" w:rsidP="0047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694"/>
    <w:multiLevelType w:val="hybridMultilevel"/>
    <w:tmpl w:val="10280C34"/>
    <w:lvl w:ilvl="0" w:tplc="3670B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7A"/>
    <w:rsid w:val="00050DAD"/>
    <w:rsid w:val="0015496C"/>
    <w:rsid w:val="00170E45"/>
    <w:rsid w:val="00203A8A"/>
    <w:rsid w:val="00231476"/>
    <w:rsid w:val="00236AEE"/>
    <w:rsid w:val="00427ED6"/>
    <w:rsid w:val="004343D3"/>
    <w:rsid w:val="004701ED"/>
    <w:rsid w:val="00483B45"/>
    <w:rsid w:val="004A2408"/>
    <w:rsid w:val="004E4DD1"/>
    <w:rsid w:val="00512568"/>
    <w:rsid w:val="005248CC"/>
    <w:rsid w:val="0053334F"/>
    <w:rsid w:val="00561D0B"/>
    <w:rsid w:val="00582019"/>
    <w:rsid w:val="00595067"/>
    <w:rsid w:val="00817716"/>
    <w:rsid w:val="008D434B"/>
    <w:rsid w:val="00941AF8"/>
    <w:rsid w:val="009A6896"/>
    <w:rsid w:val="009F6482"/>
    <w:rsid w:val="00A17D92"/>
    <w:rsid w:val="00AB4273"/>
    <w:rsid w:val="00B00424"/>
    <w:rsid w:val="00B3487A"/>
    <w:rsid w:val="00B37172"/>
    <w:rsid w:val="00C015C6"/>
    <w:rsid w:val="00C76771"/>
    <w:rsid w:val="00D033AC"/>
    <w:rsid w:val="00D96A83"/>
    <w:rsid w:val="00E867A2"/>
    <w:rsid w:val="00EB4E8D"/>
    <w:rsid w:val="00EF6B5E"/>
    <w:rsid w:val="00F32C3B"/>
    <w:rsid w:val="00F73F5A"/>
    <w:rsid w:val="00FA2D7C"/>
    <w:rsid w:val="00FA73DD"/>
    <w:rsid w:val="00FE24C2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6A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2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2D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A2D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E45"/>
    <w:pPr>
      <w:ind w:left="720"/>
      <w:contextualSpacing/>
    </w:pPr>
  </w:style>
  <w:style w:type="paragraph" w:styleId="Header">
    <w:name w:val="header"/>
    <w:basedOn w:val="Normal"/>
    <w:link w:val="HeaderChar"/>
    <w:rsid w:val="0047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01E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47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01ED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5820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01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82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201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82019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6A8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2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2D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A2D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E45"/>
    <w:pPr>
      <w:ind w:left="720"/>
      <w:contextualSpacing/>
    </w:pPr>
  </w:style>
  <w:style w:type="paragraph" w:styleId="Header">
    <w:name w:val="header"/>
    <w:basedOn w:val="Normal"/>
    <w:link w:val="HeaderChar"/>
    <w:rsid w:val="0047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01E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47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01ED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5820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01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82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201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8201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otiva.fi/ratkaisut/energiankaytto_suomessa/co2-laskentaohje_energiankulutuksen_hiilidioksidipaastojen_laskentaan/co2-paastokertoim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hgprotocol.org/standards/corporate-standar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ia.fi/handle/10024/6999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4125-A35E-4201-93AC-5AA1E70F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Yrityksen hiilijalanjälki ja sen laskeminen ”laskurilla”</vt:lpstr>
      <vt:lpstr>Yrityksen hiilijalanjälki ja sen laskeminen ”laskurilla”</vt:lpstr>
    </vt:vector>
  </TitlesOfParts>
  <Company>Parikkalan kunta</Company>
  <LinksUpToDate>false</LinksUpToDate>
  <CharactersWithSpaces>10286</CharactersWithSpaces>
  <SharedDoc>false</SharedDoc>
  <HLinks>
    <vt:vector size="72" baseType="variant">
      <vt:variant>
        <vt:i4>2293803</vt:i4>
      </vt:variant>
      <vt:variant>
        <vt:i4>33</vt:i4>
      </vt:variant>
      <vt:variant>
        <vt:i4>0</vt:i4>
      </vt:variant>
      <vt:variant>
        <vt:i4>5</vt:i4>
      </vt:variant>
      <vt:variant>
        <vt:lpwstr>http://www.ghgprotocol.org/standards/corporate-standard</vt:lpwstr>
      </vt:variant>
      <vt:variant>
        <vt:lpwstr/>
      </vt:variant>
      <vt:variant>
        <vt:i4>6291560</vt:i4>
      </vt:variant>
      <vt:variant>
        <vt:i4>30</vt:i4>
      </vt:variant>
      <vt:variant>
        <vt:i4>0</vt:i4>
      </vt:variant>
      <vt:variant>
        <vt:i4>5</vt:i4>
      </vt:variant>
      <vt:variant>
        <vt:lpwstr>http://lipasto.vtt.fi/</vt:lpwstr>
      </vt:variant>
      <vt:variant>
        <vt:lpwstr/>
      </vt:variant>
      <vt:variant>
        <vt:i4>1769554</vt:i4>
      </vt:variant>
      <vt:variant>
        <vt:i4>27</vt:i4>
      </vt:variant>
      <vt:variant>
        <vt:i4>0</vt:i4>
      </vt:variant>
      <vt:variant>
        <vt:i4>5</vt:i4>
      </vt:variant>
      <vt:variant>
        <vt:lpwstr>http://www.vtt.fi/inf/pdf/workingpapers/2006/W43.pdf. ISBN 951-38-6595-9</vt:lpwstr>
      </vt:variant>
      <vt:variant>
        <vt:lpwstr/>
      </vt:variant>
      <vt:variant>
        <vt:i4>6094922</vt:i4>
      </vt:variant>
      <vt:variant>
        <vt:i4>24</vt:i4>
      </vt:variant>
      <vt:variant>
        <vt:i4>0</vt:i4>
      </vt:variant>
      <vt:variant>
        <vt:i4>5</vt:i4>
      </vt:variant>
      <vt:variant>
        <vt:lpwstr>http://tilastokeskus.fi/tup/khkinv/khkaasut_polttoaineluokitus_2011.xls</vt:lpwstr>
      </vt:variant>
      <vt:variant>
        <vt:lpwstr/>
      </vt:variant>
      <vt:variant>
        <vt:i4>4194331</vt:i4>
      </vt:variant>
      <vt:variant>
        <vt:i4>21</vt:i4>
      </vt:variant>
      <vt:variant>
        <vt:i4>0</vt:i4>
      </vt:variant>
      <vt:variant>
        <vt:i4>5</vt:i4>
      </vt:variant>
      <vt:variant>
        <vt:lpwstr>http://www.ymparisto.fi/print.asp?contentid=381074&amp;lan=fi&amp;clan=fi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http://www.ymparisto.fi/download.asp?contentid=108589&amp;lan=fi</vt:lpwstr>
      </vt:variant>
      <vt:variant>
        <vt:lpwstr/>
      </vt:variant>
      <vt:variant>
        <vt:i4>6226015</vt:i4>
      </vt:variant>
      <vt:variant>
        <vt:i4>15</vt:i4>
      </vt:variant>
      <vt:variant>
        <vt:i4>0</vt:i4>
      </vt:variant>
      <vt:variant>
        <vt:i4>5</vt:i4>
      </vt:variant>
      <vt:variant>
        <vt:lpwstr>http://www.ymparisto.fi/download.asp?contentid=92262</vt:lpwstr>
      </vt:variant>
      <vt:variant>
        <vt:lpwstr/>
      </vt:variant>
      <vt:variant>
        <vt:i4>8126585</vt:i4>
      </vt:variant>
      <vt:variant>
        <vt:i4>12</vt:i4>
      </vt:variant>
      <vt:variant>
        <vt:i4>0</vt:i4>
      </vt:variant>
      <vt:variant>
        <vt:i4>5</vt:i4>
      </vt:variant>
      <vt:variant>
        <vt:lpwstr>http://www.doria.fi/handle/10024/69993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http://www.eumayors.eu/IMG/pdf/technical_annex_fi.pdf</vt:lpwstr>
      </vt:variant>
      <vt:variant>
        <vt:lpwstr/>
      </vt:variant>
      <vt:variant>
        <vt:i4>8126585</vt:i4>
      </vt:variant>
      <vt:variant>
        <vt:i4>6</vt:i4>
      </vt:variant>
      <vt:variant>
        <vt:i4>0</vt:i4>
      </vt:variant>
      <vt:variant>
        <vt:i4>5</vt:i4>
      </vt:variant>
      <vt:variant>
        <vt:lpwstr>http://www.ipcc.ch/publications_and_data/ar4/wg1/en/ch2s2-10-2.html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http://www.ghgprotocol.org/standards/corporate-standard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http://www.doria.fi/handle/10024/69993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hiilijalanjälki ja sen laskeminen ”laskurilla”</dc:title>
  <dc:creator>anniina.kontiokorpi</dc:creator>
  <cp:lastModifiedBy>Karvonen Jaakko</cp:lastModifiedBy>
  <cp:revision>2</cp:revision>
  <dcterms:created xsi:type="dcterms:W3CDTF">2019-11-18T07:17:00Z</dcterms:created>
  <dcterms:modified xsi:type="dcterms:W3CDTF">2019-11-18T07:17:00Z</dcterms:modified>
</cp:coreProperties>
</file>